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PURCHASE ORDER</w:t>
      </w:r>
    </w:p>
    <w:p>
      <w:pPr>
        <w:pStyle w:val="BodyText"/>
      </w:pPr>
      <w:r>
        <w:t xml:space="preserve">PO Number: NL-AMS-2025-04871</w:t>
      </w:r>
    </w:p>
    <w:p>
      <w:pPr>
        <w:pStyle w:val="BodyText"/>
      </w:pPr>
      <w:r>
        <w:t xml:space="preserve">Date of Issue: 14 June 2025</w:t>
      </w:r>
    </w:p>
    <w:p>
      <w:pPr>
        <w:pStyle w:val="BodyText"/>
      </w:pPr>
      <w:r>
        <w:t xml:space="preserve">Valid Until: 14 July 2025</w:t>
      </w:r>
    </w:p>
    <w:p>
      <w:pPr>
        <w:pStyle w:val="BodyText"/>
      </w:pPr>
      <w:r>
        <w:rPr>
          <w:bCs/>
          <w:b/>
        </w:rPr>
        <w:t xml:space="preserve">Amsterdam Heritage Construction B.V.</w:t>
      </w:r>
      <w:r>
        <w:br/>
      </w:r>
      <w:r>
        <w:t xml:space="preserve">Keizersgracht 214</w:t>
      </w:r>
      <w:r>
        <w:br/>
      </w:r>
      <w:r>
        <w:t xml:space="preserve">1016 CJ Amsterdam</w:t>
      </w:r>
      <w:r>
        <w:br/>
      </w:r>
      <w:r>
        <w:t xml:space="preserve">The Netherlands</w:t>
      </w:r>
      <w:r>
        <w:br/>
      </w:r>
      <w:r>
        <w:t xml:space="preserve">KVK: 87654321</w:t>
      </w:r>
      <w:r>
        <w:br/>
      </w:r>
      <w:r>
        <w:t xml:space="preserve">BTW: NL862145789B01</w:t>
      </w:r>
      <w:r>
        <w:br/>
      </w:r>
      <w:r>
        <w:t xml:space="preserve">Tel: +31 20 555 0142</w:t>
      </w:r>
      <w:r>
        <w:br/>
      </w:r>
      <w:r>
        <w:t xml:space="preserve">Email: procurement@amsterdamheritage.nl</w:t>
      </w:r>
    </w:p>
    <w:p>
      <w:pPr>
        <w:pStyle w:val="BodyText"/>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Mason</w:t>
            </w:r>
            <w:r>
              <w:t xml:space="preserve"> </w:t>
            </w:r>
            <w:r>
              <w:t xml:space="preserve">&amp; Sons Masonry Works B.V.</w:t>
            </w:r>
          </w:p>
        </w:tc>
      </w:tr>
      <w:tr>
        <w:tc>
          <w:tcPr/>
          <w:p>
            <w:pPr>
              <w:pStyle w:val="Compact"/>
              <w:jc w:val="left"/>
            </w:pPr>
            <w:r>
              <w:t xml:space="preserve">Address</w:t>
            </w:r>
          </w:p>
        </w:tc>
        <w:tc>
          <w:tcPr/>
          <w:p>
            <w:pPr>
              <w:pStyle w:val="Compact"/>
              <w:jc w:val="left"/>
            </w:pPr>
            <w:r>
              <w:t xml:space="preserve">Herengracht 892, 1015 CE Amsterdam, Netherlands</w:t>
            </w:r>
          </w:p>
        </w:tc>
      </w:tr>
      <w:tr>
        <w:tc>
          <w:tcPr/>
          <w:p>
            <w:pPr>
              <w:pStyle w:val="Compact"/>
              <w:jc w:val="left"/>
            </w:pPr>
            <w:r>
              <w:t xml:space="preserve">Contact Person</w:t>
            </w:r>
          </w:p>
        </w:tc>
        <w:tc>
          <w:tcPr/>
          <w:p>
            <w:pPr>
              <w:pStyle w:val="Compact"/>
              <w:jc w:val="left"/>
            </w:pPr>
            <w:r>
              <w:t xml:space="preserve">Dirk van der Mason, Project Director</w:t>
            </w:r>
          </w:p>
        </w:tc>
      </w:tr>
      <w:tr>
        <w:tc>
          <w:tcPr/>
          <w:p>
            <w:pPr>
              <w:pStyle w:val="Compact"/>
              <w:jc w:val="left"/>
            </w:pPr>
            <w:r>
              <w:t xml:space="preserve">Phone</w:t>
            </w:r>
          </w:p>
        </w:tc>
        <w:tc>
          <w:tcPr/>
          <w:p>
            <w:pPr>
              <w:pStyle w:val="Compact"/>
              <w:jc w:val="left"/>
            </w:pPr>
            <w:r>
              <w:t xml:space="preserve">+31 20 555 0387</w:t>
            </w:r>
          </w:p>
        </w:tc>
      </w:tr>
      <w:tr>
        <w:tc>
          <w:tcPr/>
          <w:p>
            <w:pPr>
              <w:pStyle w:val="Compact"/>
              <w:jc w:val="left"/>
            </w:pPr>
            <w:r>
              <w:t xml:space="preserve">Email</w:t>
            </w:r>
          </w:p>
        </w:tc>
        <w:tc>
          <w:tcPr/>
          <w:p>
            <w:pPr>
              <w:pStyle w:val="Compact"/>
              <w:jc w:val="left"/>
            </w:pPr>
            <w:r>
              <w:t xml:space="preserve">projects@masonmasonry.nl</w:t>
            </w:r>
          </w:p>
        </w:tc>
      </w:tr>
      <w:tr>
        <w:tc>
          <w:tcPr/>
          <w:p>
            <w:pPr>
              <w:pStyle w:val="Compact"/>
              <w:jc w:val="left"/>
            </w:pPr>
            <w:r>
              <w:t xml:space="preserve">KVK Number</w:t>
            </w:r>
          </w:p>
        </w:tc>
        <w:tc>
          <w:tcPr/>
          <w:p>
            <w:pPr>
              <w:pStyle w:val="Compact"/>
              <w:jc w:val="left"/>
            </w:pPr>
            <w:r>
              <w:t xml:space="preserve">76543210</w:t>
            </w:r>
          </w:p>
        </w:tc>
      </w:tr>
      <w:tr>
        <w:tc>
          <w:tcPr/>
          <w:p>
            <w:pPr>
              <w:pStyle w:val="Compact"/>
              <w:jc w:val="left"/>
            </w:pPr>
            <w:r>
              <w:t xml:space="preserve">BTW Number</w:t>
            </w:r>
          </w:p>
        </w:tc>
        <w:tc>
          <w:tcPr/>
          <w:p>
            <w:pPr>
              <w:pStyle w:val="Compact"/>
              <w:jc w:val="left"/>
            </w:pPr>
            <w:r>
              <w:t xml:space="preserve">NL851023456B01</w:t>
            </w:r>
          </w:p>
        </w:tc>
      </w:tr>
      <w:tr>
        <w:tc>
          <w:tcPr/>
          <w:p>
            <w:pPr>
              <w:pStyle w:val="Compact"/>
              <w:jc w:val="left"/>
            </w:pPr>
            <w:r>
              <w:t xml:space="preserve">Bank / IBAN</w:t>
            </w:r>
          </w:p>
        </w:tc>
        <w:tc>
          <w:tcPr/>
          <w:p>
            <w:pPr>
              <w:pStyle w:val="Compact"/>
              <w:jc w:val="left"/>
            </w:pPr>
            <w:r>
              <w:t xml:space="preserve">ING Bank N.V. – NL91 INGB 0001 2345 67</w:t>
            </w:r>
          </w:p>
        </w:tc>
      </w:tr>
    </w:tbl>
    <w:p>
      <w:pPr>
        <w:pStyle w:val="BodyText"/>
      </w:pPr>
      <w:r>
        <w:t xml:space="preserve">2. Bill To / Project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Project Site</w:t>
            </w:r>
          </w:p>
        </w:tc>
        <w:tc>
          <w:tcPr/>
          <w:p>
            <w:pPr>
              <w:pStyle w:val="Compact"/>
              <w:jc w:val="left"/>
            </w:pPr>
            <w:r>
              <w:t xml:space="preserve">Canal House Restoration – Prinsengracht 456, 1016 KH</w:t>
            </w:r>
            <w:r>
              <w:t xml:space="preserve"> </w:t>
            </w:r>
            <w:r>
              <w:t xml:space="preserve">Netherlands Amsterdam</w:t>
            </w:r>
          </w:p>
        </w:tc>
      </w:tr>
      <w:tr>
        <w:tc>
          <w:tcPr/>
          <w:p>
            <w:pPr>
              <w:pStyle w:val="Compact"/>
              <w:jc w:val="left"/>
            </w:pPr>
            <w:r>
              <w:t xml:space="preserve">Client</w:t>
            </w:r>
          </w:p>
        </w:tc>
        <w:tc>
          <w:tcPr/>
          <w:p>
            <w:pPr>
              <w:pStyle w:val="Compact"/>
              <w:jc w:val="left"/>
            </w:pPr>
            <w:r>
              <w:t xml:space="preserve">Amsterdam Heritage Construction B.V.</w:t>
            </w:r>
          </w:p>
        </w:tc>
      </w:tr>
      <w:tr>
        <w:tc>
          <w:tcPr/>
          <w:p>
            <w:pPr>
              <w:pStyle w:val="Compact"/>
              <w:jc w:val="left"/>
            </w:pPr>
            <w:r>
              <w:t xml:space="preserve">Project Reference</w:t>
            </w:r>
          </w:p>
        </w:tc>
        <w:tc>
          <w:tcPr/>
          <w:p>
            <w:pPr>
              <w:pStyle w:val="Compact"/>
              <w:jc w:val="left"/>
            </w:pPr>
            <w:r>
              <w:t xml:space="preserve">AHC-REST-2025-019</w:t>
            </w:r>
          </w:p>
        </w:tc>
      </w:tr>
      <w:tr>
        <w:tc>
          <w:tcPr/>
          <w:p>
            <w:pPr>
              <w:pStyle w:val="Compact"/>
              <w:jc w:val="left"/>
            </w:pPr>
            <w:r>
              <w:t xml:space="preserve">Site Supervisor</w:t>
            </w:r>
          </w:p>
        </w:tc>
        <w:tc>
          <w:tcPr/>
          <w:p>
            <w:pPr>
              <w:pStyle w:val="Compact"/>
              <w:jc w:val="left"/>
            </w:pPr>
            <w:r>
              <w:t xml:space="preserve">Marieke de Vries, Site Manager</w:t>
            </w:r>
          </w:p>
        </w:tc>
      </w:tr>
    </w:tbl>
    <w:p>
      <w:pPr>
        <w:pStyle w:val="BodyText"/>
      </w:pPr>
      <w:r>
        <w:t xml:space="preserve">3. Scope of Work – Mason Services</w:t>
      </w:r>
    </w:p>
    <w:p>
      <w:pPr>
        <w:pStyle w:val="BodyText"/>
      </w:pPr>
      <w:r>
        <w:t xml:space="preserve">This</w:t>
      </w:r>
      <w:r>
        <w:t xml:space="preserve"> </w:t>
      </w:r>
      <w:r>
        <w:t xml:space="preserve">Purchase Order</w:t>
      </w:r>
      <w:r>
        <w:t xml:space="preserve"> </w:t>
      </w:r>
      <w:r>
        <w:t xml:space="preserve">is issued to</w:t>
      </w:r>
      <w:r>
        <w:t xml:space="preserve"> </w:t>
      </w:r>
      <w:r>
        <w:t xml:space="preserve">Mason</w:t>
      </w:r>
      <w:r>
        <w:t xml:space="preserve"> </w:t>
      </w:r>
      <w:r>
        <w:t xml:space="preserve">&amp; Sons Masonry Works B.V. for the execution of masonry, stonework, and brick restoration services at the designated project site in</w:t>
      </w:r>
      <w:r>
        <w:t xml:space="preserve"> </w:t>
      </w:r>
      <w:r>
        <w:t xml:space="preserve">Netherlands Amsterdam</w:t>
      </w:r>
      <w:r>
        <w:t xml:space="preserve">. The scope encompasses all labour, materials, scaffolding, and equipment required to complete the masonry works as specified in the attached technical drawings and the Dutch Building Code (Bouwbesluit 2012).</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Demolition and removal of deteriorated sandstone facade elements, Prinsengracht 456, Amsterdam</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Supply and installation of restored Dutch sandstone (Zandstein) facade blocks, matching original 17th-century profile</w:t>
            </w:r>
          </w:p>
        </w:tc>
        <w:tc>
          <w:tcPr/>
          <w:p>
            <w:pPr>
              <w:pStyle w:val="Compact"/>
              <w:jc w:val="left"/>
            </w:pPr>
            <w:r>
              <w:t xml:space="preserve">m³</w:t>
            </w:r>
          </w:p>
        </w:tc>
        <w:tc>
          <w:tcPr/>
          <w:p>
            <w:pPr>
              <w:pStyle w:val="Compact"/>
              <w:jc w:val="left"/>
            </w:pPr>
            <w:r>
              <w:t xml:space="preserve">18.5</w:t>
            </w:r>
          </w:p>
        </w:tc>
        <w:tc>
          <w:tcPr/>
          <w:p>
            <w:pPr>
              <w:pStyle w:val="Compact"/>
              <w:jc w:val="left"/>
            </w:pPr>
            <w:r>
              <w:t xml:space="preserve">2,850.00</w:t>
            </w:r>
          </w:p>
        </w:tc>
        <w:tc>
          <w:tcPr/>
          <w:p>
            <w:pPr>
              <w:pStyle w:val="Compact"/>
              <w:jc w:val="left"/>
            </w:pPr>
            <w:r>
              <w:t xml:space="preserve">52,725.00</w:t>
            </w:r>
          </w:p>
        </w:tc>
      </w:tr>
      <w:tr>
        <w:tc>
          <w:tcPr/>
          <w:p>
            <w:pPr>
              <w:pStyle w:val="Compact"/>
              <w:jc w:val="left"/>
            </w:pPr>
            <w:r>
              <w:t xml:space="preserve">03</w:t>
            </w:r>
          </w:p>
        </w:tc>
        <w:tc>
          <w:tcPr/>
          <w:p>
            <w:pPr>
              <w:pStyle w:val="Compact"/>
              <w:jc w:val="left"/>
            </w:pPr>
            <w:r>
              <w:t xml:space="preserve">Repointing of all exterior brickwork using traditional lime mortar (NEN 1062 compliant), full facade</w:t>
            </w:r>
          </w:p>
        </w:tc>
        <w:tc>
          <w:tcPr/>
          <w:p>
            <w:pPr>
              <w:pStyle w:val="Compact"/>
              <w:jc w:val="left"/>
            </w:pPr>
            <w:r>
              <w:t xml:space="preserve">m²</w:t>
            </w:r>
          </w:p>
        </w:tc>
        <w:tc>
          <w:tcPr/>
          <w:p>
            <w:pPr>
              <w:pStyle w:val="Compact"/>
              <w:jc w:val="left"/>
            </w:pPr>
            <w:r>
              <w:t xml:space="preserve">640</w:t>
            </w:r>
          </w:p>
        </w:tc>
        <w:tc>
          <w:tcPr/>
          <w:p>
            <w:pPr>
              <w:pStyle w:val="Compact"/>
              <w:jc w:val="left"/>
            </w:pPr>
            <w:r>
              <w:t xml:space="preserve">48.50</w:t>
            </w:r>
          </w:p>
        </w:tc>
        <w:tc>
          <w:tcPr/>
          <w:p>
            <w:pPr>
              <w:pStyle w:val="Compact"/>
              <w:jc w:val="left"/>
            </w:pPr>
            <w:r>
              <w:t xml:space="preserve">31,040.00</w:t>
            </w:r>
          </w:p>
        </w:tc>
      </w:tr>
      <w:tr>
        <w:tc>
          <w:tcPr/>
          <w:p>
            <w:pPr>
              <w:pStyle w:val="Compact"/>
              <w:jc w:val="left"/>
            </w:pPr>
            <w:r>
              <w:t xml:space="preserve">04</w:t>
            </w:r>
          </w:p>
        </w:tc>
        <w:tc>
          <w:tcPr/>
          <w:p>
            <w:pPr>
              <w:pStyle w:val="Compact"/>
              <w:jc w:val="left"/>
            </w:pPr>
            <w:r>
              <w:t xml:space="preserve">Construction of new masonry chimney breast and flue lining, rear extension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05</w:t>
            </w:r>
          </w:p>
        </w:tc>
        <w:tc>
          <w:tcPr/>
          <w:p>
            <w:pPr>
              <w:pStyle w:val="Compact"/>
              <w:jc w:val="left"/>
            </w:pPr>
            <w:r>
              <w:t xml:space="preserve">Installation of granite threshold stones and window sills (Groningen granite), 14 openings</w:t>
            </w:r>
          </w:p>
        </w:tc>
        <w:tc>
          <w:tcPr/>
          <w:p>
            <w:pPr>
              <w:pStyle w:val="Compact"/>
              <w:jc w:val="left"/>
            </w:pPr>
            <w:r>
              <w:t xml:space="preserve">Set</w:t>
            </w:r>
          </w:p>
        </w:tc>
        <w:tc>
          <w:tcPr/>
          <w:p>
            <w:pPr>
              <w:pStyle w:val="Compact"/>
              <w:jc w:val="left"/>
            </w:pPr>
            <w:r>
              <w:t xml:space="preserve">14</w:t>
            </w:r>
          </w:p>
        </w:tc>
        <w:tc>
          <w:tcPr/>
          <w:p>
            <w:pPr>
              <w:pStyle w:val="Compact"/>
              <w:jc w:val="left"/>
            </w:pPr>
            <w:r>
              <w:t xml:space="preserve">1,250.00</w:t>
            </w:r>
          </w:p>
        </w:tc>
        <w:tc>
          <w:tcPr/>
          <w:p>
            <w:pPr>
              <w:pStyle w:val="Compact"/>
              <w:jc w:val="left"/>
            </w:pPr>
            <w:r>
              <w:t xml:space="preserve">17,500.00</w:t>
            </w:r>
          </w:p>
        </w:tc>
      </w:tr>
      <w:tr>
        <w:tc>
          <w:tcPr/>
          <w:p>
            <w:pPr>
              <w:pStyle w:val="Compact"/>
              <w:jc w:val="left"/>
            </w:pPr>
            <w:r>
              <w:t xml:space="preserve">06</w:t>
            </w:r>
          </w:p>
        </w:tc>
        <w:tc>
          <w:tcPr/>
          <w:p>
            <w:pPr>
              <w:pStyle w:val="Compact"/>
              <w:jc w:val="left"/>
            </w:pPr>
            <w:r>
              <w:t xml:space="preserve">Erection and dismantling of mobile scaffolding for full facade access, duration 12 weeks</w:t>
            </w:r>
          </w:p>
        </w:tc>
        <w:tc>
          <w:tcPr/>
          <w:p>
            <w:pPr>
              <w:pStyle w:val="Compact"/>
              <w:jc w:val="left"/>
            </w:pPr>
            <w:r>
              <w:t xml:space="preserve">Week</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Waste removal, site cleanup, and disposal in accordance with Amsterdam municipal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gridSpan w:val="5"/>
          </w:tcPr>
          <w:p>
            <w:pPr>
              <w:pStyle w:val="Compact"/>
              <w:jc w:val="left"/>
            </w:pPr>
            <w:r>
              <w:t xml:space="preserve">Subtotal (excl. BTW)</w:t>
            </w:r>
          </w:p>
        </w:tc>
        <w:tc>
          <w:tcPr/>
          <w:p>
            <w:pPr>
              <w:pStyle w:val="Compact"/>
              <w:jc w:val="left"/>
            </w:pPr>
            <w:r>
              <w:t xml:space="preserve">165,815.00</w:t>
            </w:r>
          </w:p>
        </w:tc>
      </w:tr>
      <w:tr>
        <w:tc>
          <w:tcPr>
            <w:gridSpan w:val="5"/>
          </w:tcPr>
          <w:p>
            <w:pPr>
              <w:pStyle w:val="Compact"/>
              <w:jc w:val="left"/>
            </w:pPr>
            <w:r>
              <w:t xml:space="preserve">BTW (21% Dutch VAT)</w:t>
            </w:r>
          </w:p>
        </w:tc>
        <w:tc>
          <w:tcPr/>
          <w:p>
            <w:pPr>
              <w:pStyle w:val="Compact"/>
              <w:jc w:val="left"/>
            </w:pPr>
            <w:r>
              <w:t xml:space="preserve">34,821.15</w:t>
            </w:r>
          </w:p>
        </w:tc>
      </w:tr>
      <w:tr>
        <w:tc>
          <w:tcPr>
            <w:gridSpan w:val="5"/>
          </w:tcPr>
          <w:p>
            <w:pPr>
              <w:pStyle w:val="Compact"/>
              <w:jc w:val="left"/>
            </w:pPr>
            <w:r>
              <w:t xml:space="preserve">Grand Total (incl. BTW)</w:t>
            </w:r>
          </w:p>
        </w:tc>
        <w:tc>
          <w:tcPr/>
          <w:p>
            <w:pPr>
              <w:pStyle w:val="Compact"/>
              <w:jc w:val="left"/>
            </w:pPr>
            <w:r>
              <w:t xml:space="preserve">200,636.15</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within 30 days of receipt of a valid invoice from Mason &amp; Sons Masonry Works B.V. Progress payments of 25% shall be issued at the completion of each major phase as defined in the project schedule.</w:t>
      </w:r>
    </w:p>
    <w:p>
      <w:pPr>
        <w:numPr>
          <w:ilvl w:val="0"/>
          <w:numId w:val="1001"/>
        </w:numPr>
        <w:pStyle w:val="Compact"/>
      </w:pPr>
      <w:r>
        <w:rPr>
          <w:bCs/>
          <w:b/>
        </w:rPr>
        <w:t xml:space="preserve">Delivery / Commencement:</w:t>
      </w:r>
      <w:r>
        <w:t xml:space="preserve"> </w:t>
      </w:r>
      <w:r>
        <w:t xml:space="preserve">Mason shall commence works on-site in Netherlands Amsterdam no later than 1 July 2025. All materials must be delivered to the Prinsengracht 456 site no later than 20 June 2025.</w:t>
      </w:r>
    </w:p>
    <w:p>
      <w:pPr>
        <w:numPr>
          <w:ilvl w:val="0"/>
          <w:numId w:val="1001"/>
        </w:numPr>
        <w:pStyle w:val="Compact"/>
      </w:pPr>
      <w:r>
        <w:rPr>
          <w:bCs/>
          <w:b/>
        </w:rPr>
        <w:t xml:space="preserve">Quality Standards:</w:t>
      </w:r>
      <w:r>
        <w:t xml:space="preserve"> </w:t>
      </w:r>
      <w:r>
        <w:t xml:space="preserve">All masonry work shall comply with NEN 1062, NEN 2580, and the applicable provisions of the Bouwbesluit 2012. Materials must carry CE marking and be suitable for the Amsterdam canal-side environment.</w:t>
      </w:r>
    </w:p>
    <w:p>
      <w:pPr>
        <w:numPr>
          <w:ilvl w:val="0"/>
          <w:numId w:val="1001"/>
        </w:numPr>
        <w:pStyle w:val="Compact"/>
      </w:pPr>
      <w:r>
        <w:rPr>
          <w:bCs/>
          <w:b/>
        </w:rPr>
        <w:t xml:space="preserve">Heritage Compliance:</w:t>
      </w:r>
      <w:r>
        <w:t xml:space="preserve"> </w:t>
      </w:r>
      <w:r>
        <w:t xml:space="preserve">As the project site is a designated rijksmonument (national heritage building) in Amsterdam, all masonry work must be approved in advance by the Amsterdam Monumentenwacht. Mason shall submit all material samples and methodology plans for approval prior to commencement.</w:t>
      </w:r>
    </w:p>
    <w:p>
      <w:pPr>
        <w:numPr>
          <w:ilvl w:val="0"/>
          <w:numId w:val="1001"/>
        </w:numPr>
        <w:pStyle w:val="Compact"/>
      </w:pPr>
      <w:r>
        <w:rPr>
          <w:bCs/>
          <w:b/>
        </w:rPr>
        <w:t xml:space="preserve">Insurance:</w:t>
      </w:r>
      <w:r>
        <w:t xml:space="preserve"> </w:t>
      </w:r>
      <w:r>
        <w:t xml:space="preserve">Mason shall maintain adequate professional liability insurance (beroepsaansprakelijkheid) of no less than EUR 2,000,000 and general liability insurance (AVB) of no less than EUR 5,000,000 for the duration of the contract.</w:t>
      </w:r>
    </w:p>
    <w:p>
      <w:pPr>
        <w:numPr>
          <w:ilvl w:val="0"/>
          <w:numId w:val="1001"/>
        </w:numPr>
        <w:pStyle w:val="Compact"/>
      </w:pPr>
      <w:r>
        <w:rPr>
          <w:bCs/>
          <w:b/>
        </w:rPr>
        <w:t xml:space="preserve">Warranty:</w:t>
      </w:r>
      <w:r>
        <w:t xml:space="preserve"> </w:t>
      </w:r>
      <w:r>
        <w:t xml:space="preserve">Mason provides a warranty of five (5) years on all masonry workmanship and materials, in accordance with Dutch civil law (Burgerlijk Wetboek, Book 7, Section 9).</w:t>
      </w:r>
    </w:p>
    <w:p>
      <w:pPr>
        <w:numPr>
          <w:ilvl w:val="0"/>
          <w:numId w:val="1001"/>
        </w:numPr>
        <w:pStyle w:val="Compact"/>
      </w:pPr>
      <w:r>
        <w:rPr>
          <w:bCs/>
          <w:b/>
        </w:rPr>
        <w:t xml:space="preserve">Force Majeure:</w:t>
      </w:r>
      <w:r>
        <w:t xml:space="preserve"> </w:t>
      </w:r>
      <w:r>
        <w:t xml:space="preserve">In the event of force majeure as defined under Dutch law, the affected party shall notify the other within 48 hours. Deadlines shall be extended accordingly.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Netherlands. Any disputes shall be submitted to the competent court in Amsterdam, Netherlands.</w:t>
      </w:r>
    </w:p>
    <w:p>
      <w:pPr>
        <w:numPr>
          <w:ilvl w:val="0"/>
          <w:numId w:val="1001"/>
        </w:numPr>
        <w:pStyle w:val="Compact"/>
      </w:pPr>
      <w:r>
        <w:rPr>
          <w:bCs/>
          <w:b/>
        </w:rPr>
        <w:t xml:space="preserve">Health &amp; Safety:</w:t>
      </w:r>
      <w:r>
        <w:t xml:space="preserve"> </w:t>
      </w:r>
      <w:r>
        <w:t xml:space="preserve">Mason shall comply with all Arbo (Dutch occupational health and safety) regulations and the Amsterdam municipal construction site safety requirements. A site-specific safety plan (SMP) must be submitted before commencement.</w:t>
      </w:r>
    </w:p>
    <w:p>
      <w:pPr>
        <w:pStyle w:val="FirstParagraph"/>
      </w:pPr>
      <w:r>
        <w:t xml:space="preserve">6. Acceptance and Authorization</w:t>
      </w:r>
    </w:p>
    <w:p>
      <w:pPr>
        <w:pStyle w:val="BodyText"/>
      </w:pPr>
      <w:r>
        <w:t xml:space="preserve">By signing below, both parties acknowledge and agree to the terms, scope, and pricing set forth in this Purchase Order for the masonry services to be performed by Mason &amp; Sons Masonry Works B.V. at the project site in Netherlands Amsterdam.</w:t>
      </w:r>
    </w:p>
    <w:p>
      <w:pPr>
        <w:pStyle w:val="BodyText"/>
      </w:pPr>
      <w:r>
        <w:rPr>
          <w:bCs/>
          <w:b/>
        </w:rPr>
        <w:t xml:space="preserve">For Amsterdam Heritage Construction B.V.</w:t>
      </w:r>
      <w:r>
        <w:br/>
      </w:r>
      <w:r>
        <w:br/>
      </w:r>
      <w:r>
        <w:t xml:space="preserve">Name: ___________________________</w:t>
      </w:r>
      <w:r>
        <w:br/>
      </w:r>
      <w:r>
        <w:t xml:space="preserve">Title: Procurement Director</w:t>
      </w:r>
      <w:r>
        <w:br/>
      </w:r>
      <w:r>
        <w:t xml:space="preserve">Signature: _______________________</w:t>
      </w:r>
      <w:r>
        <w:br/>
      </w:r>
      <w:r>
        <w:t xml:space="preserve">Date: ___________________________</w:t>
      </w:r>
    </w:p>
    <w:p>
      <w:pPr>
        <w:pStyle w:val="BodyText"/>
      </w:pPr>
      <w:r>
        <w:rPr>
          <w:bCs/>
          <w:b/>
        </w:rPr>
        <w:t xml:space="preserve">For Mason &amp; Sons Masonry Works B.V.</w:t>
      </w:r>
      <w:r>
        <w:br/>
      </w:r>
      <w:r>
        <w:br/>
      </w:r>
      <w:r>
        <w:t xml:space="preserve">Name: ___________________________</w:t>
      </w:r>
      <w:r>
        <w:br/>
      </w:r>
      <w:r>
        <w:t xml:space="preserve">Title: Project Director</w:t>
      </w:r>
      <w:r>
        <w:br/>
      </w:r>
      <w:r>
        <w:t xml:space="preserve">Signature: _______________________</w:t>
      </w:r>
      <w:r>
        <w:br/>
      </w:r>
      <w:r>
        <w:t xml:space="preserve">Date: ___________________________</w:t>
      </w:r>
    </w:p>
    <w:p>
      <w:pPr>
        <w:pStyle w:val="BodyText"/>
      </w:pPr>
      <w:r>
        <w:t xml:space="preserve">This Purchase Order (PO NL-AMS-2025-04871) is issued by Amsterdam Heritage Construction B.V. to Mason &amp; Sons Masonry Works B.V. for masonry and stonework services at a heritage restoration project in Netherlands Amsterdam. This document constitutes a binding agreement upon signature by both parties. All communications regarding this Purchase Order should reference the PO number. For questions, contact the Procurement Department at procurement@amsterdamheritage.nl or +31 20 555 0142. This document is valid for 30 days from the date of issue. © 2025 Amsterdam Heritage Construction B.V.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Netherlands Amsterdam</dc:title>
  <dc:creator/>
  <dc:language>en</dc:language>
  <cp:keywords/>
  <dcterms:created xsi:type="dcterms:W3CDTF">2026-10-10T04:04:21Z</dcterms:created>
  <dcterms:modified xsi:type="dcterms:W3CDTF">2026-10-10T04:04:21Z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