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Ltd</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Mason Ltd</w:t>
      </w:r>
    </w:p>
    <w:p>
      <w:pPr>
        <w:pStyle w:val="BodyText"/>
      </w:pPr>
      <w:r>
        <w:t xml:space="preserve">142 Featherston Street, Te Aro</w:t>
      </w:r>
      <w:r>
        <w:br/>
      </w:r>
      <w:r>
        <w:t xml:space="preserve">Wellington 6011, New Zealand</w:t>
      </w:r>
      <w:r>
        <w:br/>
      </w:r>
      <w:r>
        <w:t xml:space="preserve">Phone: +64 4 472 8830</w:t>
      </w:r>
      <w:r>
        <w:br/>
      </w:r>
      <w:r>
        <w:t xml:space="preserve">Email: procurement@mason.co.nz</w:t>
      </w:r>
      <w:r>
        <w:br/>
      </w:r>
      <w:r>
        <w:t xml:space="preserve">NZBN: 942904123456789</w:t>
      </w:r>
    </w:p>
    <w:p>
      <w:pPr>
        <w:pStyle w:val="BodyText"/>
      </w:pPr>
      <w:r>
        <w:t xml:space="preserve">PURCHASE ORDER</w:t>
      </w:r>
    </w:p>
    <w:p>
      <w:pPr>
        <w:pStyle w:val="BodyText"/>
      </w:pPr>
      <w:r>
        <w:t xml:space="preserve">PO Number:</w:t>
      </w:r>
      <w:r>
        <w:t xml:space="preserve"> </w:t>
      </w:r>
      <w:r>
        <w:t xml:space="preserve">MASON-WGN-2025-0487</w:t>
      </w:r>
    </w:p>
    <w:p>
      <w:pPr>
        <w:pStyle w:val="BodyText"/>
      </w:pPr>
      <w:r>
        <w:t xml:space="preserve">Date of Issue: 12 June 2025</w:t>
      </w:r>
    </w:p>
    <w:p>
      <w:pPr>
        <w:pStyle w:val="BodyText"/>
      </w:pPr>
      <w:r>
        <w:t xml:space="preserve">Required Delivery: 28 June 2025</w:t>
      </w:r>
    </w:p>
    <w:p>
      <w:pPr>
        <w:pStyle w:val="BodyText"/>
      </w:pPr>
      <w:r>
        <w:t xml:space="preserve">Valid Until: 12 July 2025</w:t>
      </w:r>
    </w:p>
    <w:p>
      <w:pPr>
        <w:pStyle w:val="BodyText"/>
      </w:pPr>
      <w:r>
        <w:t xml:space="preserve">Supplier Information</w:t>
      </w:r>
    </w:p>
    <w:p>
      <w:pPr>
        <w:pStyle w:val="BodyText"/>
      </w:pPr>
      <w:r>
        <w:t xml:space="preserve">Supplier Name:</w:t>
      </w:r>
      <w:r>
        <w:t xml:space="preserve"> </w:t>
      </w:r>
      <w:r>
        <w:t xml:space="preserve">Pacific Rim Industrial Supplies Co.</w:t>
      </w:r>
    </w:p>
    <w:p>
      <w:pPr>
        <w:pStyle w:val="BodyText"/>
      </w:pPr>
      <w:r>
        <w:t xml:space="preserve">Address:</w:t>
      </w:r>
      <w:r>
        <w:t xml:space="preserve"> </w:t>
      </w:r>
      <w:r>
        <w:t xml:space="preserve">88 Khandallah Avenue, Karori, Wellington 6032, New Zealand</w:t>
      </w:r>
    </w:p>
    <w:p>
      <w:pPr>
        <w:pStyle w:val="BodyText"/>
      </w:pPr>
      <w:r>
        <w:t xml:space="preserve">Contact Person:</w:t>
      </w:r>
      <w:r>
        <w:t xml:space="preserve"> </w:t>
      </w:r>
      <w:r>
        <w:t xml:space="preserve">Sarah Whitfield, Accounts Manager</w:t>
      </w:r>
    </w:p>
    <w:p>
      <w:pPr>
        <w:pStyle w:val="BodyText"/>
      </w:pPr>
      <w:r>
        <w:t xml:space="preserve">Phone:</w:t>
      </w:r>
      <w:r>
        <w:t xml:space="preserve"> </w:t>
      </w:r>
      <w:r>
        <w:t xml:space="preserve">+64 4 385 2210</w:t>
      </w:r>
    </w:p>
    <w:p>
      <w:pPr>
        <w:pStyle w:val="BodyText"/>
      </w:pPr>
      <w:r>
        <w:t xml:space="preserve">Email:</w:t>
      </w:r>
      <w:r>
        <w:t xml:space="preserve"> </w:t>
      </w:r>
      <w:r>
        <w:t xml:space="preserve">orders@pacrimindustrial.co.nz</w:t>
      </w:r>
    </w:p>
    <w:p>
      <w:pPr>
        <w:pStyle w:val="BodyText"/>
      </w:pPr>
      <w:r>
        <w:t xml:space="preserve">Delivery Address:</w:t>
      </w:r>
      <w:r>
        <w:t xml:space="preserve"> </w:t>
      </w:r>
      <w:r>
        <w:t xml:space="preserve">Mason Ltd Warehouse, 142 Featherston Street, Te Aro, Wellington 6011, New Zealand</w:t>
      </w:r>
    </w:p>
    <w:p>
      <w:pPr>
        <w:pStyle w:val="BodyText"/>
      </w:pPr>
      <w:r>
        <w:t xml:space="preserve">Delivery Contact:</w:t>
      </w:r>
      <w:r>
        <w:t xml:space="preserve"> </w:t>
      </w:r>
      <w:r>
        <w:t xml:space="preserve">James Okafor, Site Supervisor</w:t>
      </w:r>
    </w:p>
    <w:p>
      <w:pPr>
        <w:pStyle w:val="BodyText"/>
      </w:pPr>
      <w:r>
        <w:t xml:space="preserve">Delivery Hours:</w:t>
      </w:r>
      <w:r>
        <w:t xml:space="preserve"> </w:t>
      </w:r>
      <w:r>
        <w:t xml:space="preserve">07:00 – 16:00 NZST, Monday to Friday</w:t>
      </w:r>
    </w:p>
    <w:p>
      <w:pPr>
        <w:pStyle w:val="BodyText"/>
      </w:pPr>
      <w:r>
        <w:t xml:space="preserve">GST Number:</w:t>
      </w:r>
      <w:r>
        <w:t xml:space="preserve"> </w:t>
      </w:r>
      <w:r>
        <w:t xml:space="preserve">857-654-321</w:t>
      </w:r>
    </w:p>
    <w:p>
      <w:pPr>
        <w:pStyle w:val="BodyText"/>
      </w:pPr>
      <w:r>
        <w:t xml:space="preserve">Order Details – Mason Project: Wellington Harbourfront Development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Structural steel beams, 200mm x 150mm, Grade 350, hot-dip galvanised – for Mason Harbourfront structural framework</w:t>
            </w:r>
          </w:p>
        </w:tc>
        <w:tc>
          <w:tcPr/>
          <w:p>
            <w:pPr>
              <w:pStyle w:val="Compact"/>
              <w:jc w:val="left"/>
            </w:pPr>
            <w:r>
              <w:t xml:space="preserve">Length (m)</w:t>
            </w:r>
          </w:p>
        </w:tc>
        <w:tc>
          <w:tcPr/>
          <w:p>
            <w:pPr>
              <w:pStyle w:val="Compact"/>
              <w:jc w:val="left"/>
            </w:pPr>
            <w:r>
              <w:t xml:space="preserve">340</w:t>
            </w:r>
          </w:p>
        </w:tc>
        <w:tc>
          <w:tcPr/>
          <w:p>
            <w:pPr>
              <w:pStyle w:val="Compact"/>
              <w:jc w:val="left"/>
            </w:pPr>
            <w:r>
              <w:t xml:space="preserve">187.50</w:t>
            </w:r>
          </w:p>
        </w:tc>
        <w:tc>
          <w:tcPr/>
          <w:p>
            <w:pPr>
              <w:pStyle w:val="Compact"/>
              <w:jc w:val="left"/>
            </w:pPr>
            <w:r>
              <w:t xml:space="preserve">63,750.00</w:t>
            </w:r>
          </w:p>
        </w:tc>
      </w:tr>
      <w:tr>
        <w:tc>
          <w:tcPr/>
          <w:p>
            <w:pPr>
              <w:pStyle w:val="Compact"/>
              <w:jc w:val="left"/>
            </w:pPr>
            <w:r>
              <w:t xml:space="preserve">2</w:t>
            </w:r>
          </w:p>
        </w:tc>
        <w:tc>
          <w:tcPr/>
          <w:p>
            <w:pPr>
              <w:pStyle w:val="Compact"/>
              <w:jc w:val="left"/>
            </w:pPr>
            <w:r>
              <w:t xml:space="preserve">Reinforcing steel mesh, B500, 200mm x 200mm grid, 1200mm x 2400mm sheets – Mason foundation works</w:t>
            </w:r>
          </w:p>
        </w:tc>
        <w:tc>
          <w:tcPr/>
          <w:p>
            <w:pPr>
              <w:pStyle w:val="Compact"/>
              <w:jc w:val="left"/>
            </w:pPr>
            <w:r>
              <w:t xml:space="preserve">Sheet</w:t>
            </w:r>
          </w:p>
        </w:tc>
        <w:tc>
          <w:tcPr/>
          <w:p>
            <w:pPr>
              <w:pStyle w:val="Compact"/>
              <w:jc w:val="left"/>
            </w:pPr>
            <w:r>
              <w:t xml:space="preserve">185</w:t>
            </w:r>
          </w:p>
        </w:tc>
        <w:tc>
          <w:tcPr/>
          <w:p>
            <w:pPr>
              <w:pStyle w:val="Compact"/>
              <w:jc w:val="left"/>
            </w:pPr>
            <w:r>
              <w:t xml:space="preserve">94.20</w:t>
            </w:r>
          </w:p>
        </w:tc>
        <w:tc>
          <w:tcPr/>
          <w:p>
            <w:pPr>
              <w:pStyle w:val="Compact"/>
              <w:jc w:val="left"/>
            </w:pPr>
            <w:r>
              <w:t xml:space="preserve">17,427.00</w:t>
            </w:r>
          </w:p>
        </w:tc>
      </w:tr>
      <w:tr>
        <w:tc>
          <w:tcPr/>
          <w:p>
            <w:pPr>
              <w:pStyle w:val="Compact"/>
              <w:jc w:val="left"/>
            </w:pPr>
            <w:r>
              <w:t xml:space="preserve">3</w:t>
            </w:r>
          </w:p>
        </w:tc>
        <w:tc>
          <w:tcPr/>
          <w:p>
            <w:pPr>
              <w:pStyle w:val="Compact"/>
              <w:jc w:val="left"/>
            </w:pPr>
            <w:r>
              <w:t xml:space="preserve">Ready-mix concrete, 32MPa, with retarder admixture, delivered to Wellington site – Mason slab pours</w:t>
            </w:r>
          </w:p>
        </w:tc>
        <w:tc>
          <w:tcPr/>
          <w:p>
            <w:pPr>
              <w:pStyle w:val="Compact"/>
              <w:jc w:val="left"/>
            </w:pPr>
            <w:r>
              <w:t xml:space="preserve">m³</w:t>
            </w:r>
          </w:p>
        </w:tc>
        <w:tc>
          <w:tcPr/>
          <w:p>
            <w:pPr>
              <w:pStyle w:val="Compact"/>
              <w:jc w:val="left"/>
            </w:pPr>
            <w:r>
              <w:t xml:space="preserve">420</w:t>
            </w:r>
          </w:p>
        </w:tc>
        <w:tc>
          <w:tcPr/>
          <w:p>
            <w:pPr>
              <w:pStyle w:val="Compact"/>
              <w:jc w:val="left"/>
            </w:pPr>
            <w:r>
              <w:t xml:space="preserve">142.00</w:t>
            </w:r>
          </w:p>
        </w:tc>
        <w:tc>
          <w:tcPr/>
          <w:p>
            <w:pPr>
              <w:pStyle w:val="Compact"/>
              <w:jc w:val="left"/>
            </w:pPr>
            <w:r>
              <w:t xml:space="preserve">59,640.00</w:t>
            </w:r>
          </w:p>
        </w:tc>
      </w:tr>
      <w:tr>
        <w:tc>
          <w:tcPr/>
          <w:p>
            <w:pPr>
              <w:pStyle w:val="Compact"/>
              <w:jc w:val="left"/>
            </w:pPr>
            <w:r>
              <w:t xml:space="preserve">4</w:t>
            </w:r>
          </w:p>
        </w:tc>
        <w:tc>
          <w:tcPr/>
          <w:p>
            <w:pPr>
              <w:pStyle w:val="Compact"/>
              <w:jc w:val="left"/>
            </w:pPr>
            <w:r>
              <w:t xml:space="preserve">Timber formwork, radiata pine, 45mm x 90mm, kiln-dried, NZS 3640 compliant – Mason deck assembly</w:t>
            </w:r>
          </w:p>
        </w:tc>
        <w:tc>
          <w:tcPr/>
          <w:p>
            <w:pPr>
              <w:pStyle w:val="Compact"/>
              <w:jc w:val="left"/>
            </w:pPr>
            <w:r>
              <w:t xml:space="preserve">Board (m)</w:t>
            </w:r>
          </w:p>
        </w:tc>
        <w:tc>
          <w:tcPr/>
          <w:p>
            <w:pPr>
              <w:pStyle w:val="Compact"/>
              <w:jc w:val="left"/>
            </w:pPr>
            <w:r>
              <w:t xml:space="preserve">1,200</w:t>
            </w:r>
          </w:p>
        </w:tc>
        <w:tc>
          <w:tcPr/>
          <w:p>
            <w:pPr>
              <w:pStyle w:val="Compact"/>
              <w:jc w:val="left"/>
            </w:pPr>
            <w:r>
              <w:t xml:space="preserve">8.75</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Waterproofing membrane, bituminous, 4mm thickness, roll 10m x 1m – Mason basement envelope</w:t>
            </w:r>
          </w:p>
        </w:tc>
        <w:tc>
          <w:tcPr/>
          <w:p>
            <w:pPr>
              <w:pStyle w:val="Compact"/>
              <w:jc w:val="left"/>
            </w:pPr>
            <w:r>
              <w:t xml:space="preserve">Roll</w:t>
            </w:r>
          </w:p>
        </w:tc>
        <w:tc>
          <w:tcPr/>
          <w:p>
            <w:pPr>
              <w:pStyle w:val="Compact"/>
              <w:jc w:val="left"/>
            </w:pPr>
            <w:r>
              <w:t xml:space="preserve">96</w:t>
            </w:r>
          </w:p>
        </w:tc>
        <w:tc>
          <w:tcPr/>
          <w:p>
            <w:pPr>
              <w:pStyle w:val="Compact"/>
              <w:jc w:val="left"/>
            </w:pPr>
            <w:r>
              <w:t xml:space="preserve">312.00</w:t>
            </w:r>
          </w:p>
        </w:tc>
        <w:tc>
          <w:tcPr/>
          <w:p>
            <w:pPr>
              <w:pStyle w:val="Compact"/>
              <w:jc w:val="left"/>
            </w:pPr>
            <w:r>
              <w:t xml:space="preserve">29,952.00</w:t>
            </w:r>
          </w:p>
        </w:tc>
      </w:tr>
      <w:tr>
        <w:tc>
          <w:tcPr/>
          <w:p>
            <w:pPr>
              <w:pStyle w:val="Compact"/>
              <w:jc w:val="left"/>
            </w:pPr>
            <w:r>
              <w:t xml:space="preserve">6</w:t>
            </w:r>
          </w:p>
        </w:tc>
        <w:tc>
          <w:tcPr/>
          <w:p>
            <w:pPr>
              <w:pStyle w:val="Compact"/>
              <w:jc w:val="left"/>
            </w:pPr>
            <w:r>
              <w:t xml:space="preserve">Anchor bolts, M24 x 600mm, Grade 8.8, with base plates – Mason structural connections</w:t>
            </w:r>
          </w:p>
        </w:tc>
        <w:tc>
          <w:tcPr/>
          <w:p>
            <w:pPr>
              <w:pStyle w:val="Compact"/>
              <w:jc w:val="left"/>
            </w:pPr>
            <w:r>
              <w:t xml:space="preserve">Set</w:t>
            </w:r>
          </w:p>
        </w:tc>
        <w:tc>
          <w:tcPr/>
          <w:p>
            <w:pPr>
              <w:pStyle w:val="Compact"/>
              <w:jc w:val="left"/>
            </w:pPr>
            <w:r>
              <w:t xml:space="preserve">240</w:t>
            </w:r>
          </w:p>
        </w:tc>
        <w:tc>
          <w:tcPr/>
          <w:p>
            <w:pPr>
              <w:pStyle w:val="Compact"/>
              <w:jc w:val="left"/>
            </w:pPr>
            <w:r>
              <w:t xml:space="preserve">48.60</w:t>
            </w:r>
          </w:p>
        </w:tc>
        <w:tc>
          <w:tcPr/>
          <w:p>
            <w:pPr>
              <w:pStyle w:val="Compact"/>
              <w:jc w:val="left"/>
            </w:pPr>
            <w:r>
              <w:t xml:space="preserve">11,664.00</w:t>
            </w:r>
          </w:p>
        </w:tc>
      </w:tr>
      <w:tr>
        <w:tc>
          <w:tcPr/>
          <w:p>
            <w:pPr>
              <w:pStyle w:val="Compact"/>
              <w:jc w:val="left"/>
            </w:pPr>
            <w:r>
              <w:t xml:space="preserve">7</w:t>
            </w:r>
          </w:p>
        </w:tc>
        <w:tc>
          <w:tcPr/>
          <w:p>
            <w:pPr>
              <w:pStyle w:val="Compact"/>
              <w:jc w:val="left"/>
            </w:pPr>
            <w:r>
              <w:t xml:space="preserve">Site safety equipment package: hard hats, hi-vis vests, safety boots, harnesses – Mason workforce PPE</w:t>
            </w:r>
          </w:p>
        </w:tc>
        <w:tc>
          <w:tcPr/>
          <w:p>
            <w:pPr>
              <w:pStyle w:val="Compact"/>
              <w:jc w:val="left"/>
            </w:pPr>
            <w:r>
              <w:t xml:space="preserve">Set</w:t>
            </w:r>
          </w:p>
        </w:tc>
        <w:tc>
          <w:tcPr/>
          <w:p>
            <w:pPr>
              <w:pStyle w:val="Compact"/>
              <w:jc w:val="left"/>
            </w:pPr>
            <w:r>
              <w:t xml:space="preserve">65</w:t>
            </w:r>
          </w:p>
        </w:tc>
        <w:tc>
          <w:tcPr/>
          <w:p>
            <w:pPr>
              <w:pStyle w:val="Compact"/>
              <w:jc w:val="left"/>
            </w:pPr>
            <w:r>
              <w:t xml:space="preserve">285.00</w:t>
            </w:r>
          </w:p>
        </w:tc>
        <w:tc>
          <w:tcPr/>
          <w:p>
            <w:pPr>
              <w:pStyle w:val="Compact"/>
              <w:jc w:val="left"/>
            </w:pPr>
            <w:r>
              <w:t xml:space="preserve">18,525.00</w:t>
            </w:r>
          </w:p>
        </w:tc>
      </w:tr>
      <w:tr>
        <w:tc>
          <w:tcPr/>
          <w:p>
            <w:pPr>
              <w:pStyle w:val="Compact"/>
              <w:jc w:val="left"/>
            </w:pPr>
            <w:r>
              <w:t xml:space="preserve">8</w:t>
            </w:r>
          </w:p>
        </w:tc>
        <w:tc>
          <w:tcPr/>
          <w:p>
            <w:pPr>
              <w:pStyle w:val="Compact"/>
              <w:jc w:val="left"/>
            </w:pPr>
            <w:r>
              <w:t xml:space="preserve">Temporary scaffolding, aluminium, 1.5m x 2.0m frames, with guardrails – Mason exterior facade access</w:t>
            </w:r>
          </w:p>
        </w:tc>
        <w:tc>
          <w:tcPr/>
          <w:p>
            <w:pPr>
              <w:pStyle w:val="Compact"/>
              <w:jc w:val="left"/>
            </w:pPr>
            <w:r>
              <w:t xml:space="preserve">Frame</w:t>
            </w:r>
          </w:p>
        </w:tc>
        <w:tc>
          <w:tcPr/>
          <w:p>
            <w:pPr>
              <w:pStyle w:val="Compact"/>
              <w:jc w:val="left"/>
            </w:pPr>
            <w:r>
              <w:t xml:space="preserve">310</w:t>
            </w:r>
          </w:p>
        </w:tc>
        <w:tc>
          <w:tcPr/>
          <w:p>
            <w:pPr>
              <w:pStyle w:val="Compact"/>
              <w:jc w:val="left"/>
            </w:pPr>
            <w:r>
              <w:t xml:space="preserve">67.40</w:t>
            </w:r>
          </w:p>
        </w:tc>
        <w:tc>
          <w:tcPr/>
          <w:p>
            <w:pPr>
              <w:pStyle w:val="Compact"/>
              <w:jc w:val="left"/>
            </w:pPr>
            <w:r>
              <w:t xml:space="preserve">20,894.00</w:t>
            </w:r>
          </w:p>
        </w:tc>
      </w:tr>
      <w:tr>
        <w:tc>
          <w:tcPr>
            <w:gridSpan w:val="5"/>
          </w:tcPr>
          <w:p>
            <w:pPr>
              <w:pStyle w:val="Compact"/>
              <w:jc w:val="right"/>
            </w:pPr>
            <w:r>
              <w:t xml:space="preserve">Subtotal (excl. GST):</w:t>
            </w:r>
          </w:p>
        </w:tc>
        <w:tc>
          <w:tcPr/>
          <w:p>
            <w:pPr>
              <w:pStyle w:val="Compact"/>
              <w:jc w:val="left"/>
            </w:pPr>
            <w:r>
              <w:t xml:space="preserve">232,352.00</w:t>
            </w:r>
          </w:p>
        </w:tc>
      </w:tr>
      <w:tr>
        <w:tc>
          <w:tcPr>
            <w:gridSpan w:val="5"/>
          </w:tcPr>
          <w:p>
            <w:pPr>
              <w:pStyle w:val="Compact"/>
              <w:jc w:val="right"/>
            </w:pPr>
            <w:r>
              <w:t xml:space="preserve">GST (15%):</w:t>
            </w:r>
          </w:p>
        </w:tc>
        <w:tc>
          <w:tcPr/>
          <w:p>
            <w:pPr>
              <w:pStyle w:val="Compact"/>
              <w:jc w:val="left"/>
            </w:pPr>
            <w:r>
              <w:t xml:space="preserve">34,852.80</w:t>
            </w:r>
          </w:p>
        </w:tc>
      </w:tr>
      <w:tr>
        <w:tc>
          <w:tcPr>
            <w:gridSpan w:val="5"/>
          </w:tcPr>
          <w:p>
            <w:pPr>
              <w:pStyle w:val="Compact"/>
              <w:jc w:val="right"/>
            </w:pPr>
            <w:r>
              <w:t xml:space="preserve">Total Amount Due (NZD):</w:t>
            </w:r>
          </w:p>
        </w:tc>
        <w:tc>
          <w:tcPr/>
          <w:p>
            <w:pPr>
              <w:pStyle w:val="Compact"/>
              <w:jc w:val="left"/>
            </w:pPr>
            <w:r>
              <w:t xml:space="preserve">267,204.80</w:t>
            </w:r>
          </w:p>
        </w:tc>
      </w:tr>
    </w:tbl>
    <w:p>
      <w:pPr>
        <w:pStyle w:val="BodyText"/>
      </w:pPr>
      <w:r>
        <w:t xml:space="preserve">Terms and Conditions</w:t>
      </w:r>
    </w:p>
    <w:p>
      <w:pPr>
        <w:numPr>
          <w:ilvl w:val="0"/>
          <w:numId w:val="1001"/>
        </w:numPr>
        <w:pStyle w:val="Compact"/>
      </w:pPr>
      <w:r>
        <w:t xml:space="preserve">This Purchase Order is issued by</w:t>
      </w:r>
      <w:r>
        <w:t xml:space="preserve"> </w:t>
      </w:r>
      <w:r>
        <w:t xml:space="preserve">Mason Ltd</w:t>
      </w:r>
      <w:r>
        <w:t xml:space="preserve">, a registered company in New Zealand, with its principal place of business at 142 Featherston Street, Te Aro,</w:t>
      </w:r>
      <w:r>
        <w:t xml:space="preserve"> </w:t>
      </w:r>
      <w:r>
        <w:t xml:space="preserve">Wellington</w:t>
      </w:r>
      <w:r>
        <w:t xml:space="preserve">, New Zealand. All goods and services referenced herein are to be supplied in accordance with the specifications outlined in this document and the associated project drawings held by Mason Ltd.</w:t>
      </w:r>
    </w:p>
    <w:p>
      <w:pPr>
        <w:numPr>
          <w:ilvl w:val="0"/>
          <w:numId w:val="1001"/>
        </w:numPr>
        <w:pStyle w:val="Compact"/>
      </w:pPr>
      <w:r>
        <w:t xml:space="preserve">Delivery of all items listed in this Purchase Order shall be made to the Mason Ltd warehouse or the designated Wellington Harbourfront construction site, as directed by the Mason site supervisor. The supplier is responsible for all transport, loading, and unloading costs within the Wellington metropolitan area. Delivery must be completed no later than 28 June 2025, between the hours of 07:00 and 16:00 New Zealand Standard Time.</w:t>
      </w:r>
    </w:p>
    <w:p>
      <w:pPr>
        <w:numPr>
          <w:ilvl w:val="0"/>
          <w:numId w:val="1001"/>
        </w:numPr>
        <w:pStyle w:val="Compact"/>
      </w:pPr>
      <w:r>
        <w:t xml:space="preserve">Payment terms for this Purchase Order are Net 30 days from the date of a valid tax invoice received by Mason Ltd's accounts department in Wellington. Payment shall be made via electronic funds transfer (EFT) to the supplier's nominated New Zealand bank account. Mason Ltd reserves the right to withhold payment for any goods found to be non-conforming or damaged upon delivery inspection.</w:t>
      </w:r>
    </w:p>
    <w:p>
      <w:pPr>
        <w:numPr>
          <w:ilvl w:val="0"/>
          <w:numId w:val="1001"/>
        </w:numPr>
        <w:pStyle w:val="Compact"/>
      </w:pPr>
      <w:r>
        <w:t xml:space="preserve">All materials must comply with applicable New Zealand Standards (NZS) and the Building Act 2004. Mason Ltd requires that all structural steel, concrete, and timber products carry appropriate mill certificates, test reports, and compliance documentation. Failure to provide such documentation will result in rejection of the affected goods at the supplier's cost.</w:t>
      </w:r>
    </w:p>
    <w:p>
      <w:pPr>
        <w:numPr>
          <w:ilvl w:val="0"/>
          <w:numId w:val="1001"/>
        </w:numPr>
        <w:pStyle w:val="Compact"/>
      </w:pPr>
      <w:r>
        <w:t xml:space="preserve">The supplier acknowledges that this Purchase Order is part of the Mason Harbourfront Development project in Wellington, New Zealand, and that all work must be performed in compliance with the Health and Safety at Work Act 2015. The supplier must hold a valid WorkSafe NZ registration and provide a current Statement of Compliance prior to commencing any site delivery activities.</w:t>
      </w:r>
    </w:p>
    <w:p>
      <w:pPr>
        <w:numPr>
          <w:ilvl w:val="0"/>
          <w:numId w:val="1001"/>
        </w:numPr>
        <w:pStyle w:val="Compact"/>
      </w:pPr>
      <w:r>
        <w:t xml:space="preserve">Any variations, substitutions, or changes to the items specified in this Purchase Order must be approved in writing by Mason Ltd's procurement manager. Verbal authorisations are not valid. Mason Ltd reserves the right to adjust quantities by up to 10% without issuing a revised Purchase Order.</w:t>
      </w:r>
    </w:p>
    <w:p>
      <w:pPr>
        <w:numPr>
          <w:ilvl w:val="0"/>
          <w:numId w:val="1001"/>
        </w:numPr>
        <w:pStyle w:val="Compact"/>
      </w:pPr>
      <w:r>
        <w:t xml:space="preserve">In the event of a dispute arising from this Purchase Order, the parties agree to first attempt resolution through good-faith negotiation. Should negotiation fail, the dispute shall be referred to mediation under the New Zealand Dispute Resolution Service, with the venue being Wellington, New Zealand. The governing law for this Purchase Order is the law of New Zealand.</w:t>
      </w:r>
    </w:p>
    <w:p>
      <w:pPr>
        <w:numPr>
          <w:ilvl w:val="0"/>
          <w:numId w:val="1001"/>
        </w:numPr>
        <w:pStyle w:val="Compact"/>
      </w:pPr>
      <w:r>
        <w:t xml:space="preserve">This Purchase Order becomes binding upon written acceptance by the supplier. The supplier must return a signed copy of this document to Mason Ltd within five (5) business days of receipt. Failure to confirm acceptance within this period shall be deemed a rejection of this Purchase Order.</w:t>
      </w:r>
    </w:p>
    <w:p>
      <w:pPr>
        <w:numPr>
          <w:ilvl w:val="0"/>
          <w:numId w:val="1001"/>
        </w:numPr>
        <w:pStyle w:val="Compact"/>
      </w:pPr>
      <w:r>
        <w:t xml:space="preserve">All intellectual property, project drawings, and specifications provided by Mason Ltd for the purpose of fulfilling this Purchase Order remain the exclusive property of Mason Ltd and shall not be reproduced or disclosed to third parties without prior written consent.</w:t>
      </w:r>
    </w:p>
    <w:p>
      <w:pPr>
        <w:pStyle w:val="FirstParagraph"/>
      </w:pPr>
      <w:r>
        <w:t xml:space="preserve">Authorisation</w:t>
      </w:r>
    </w:p>
    <w:p>
      <w:pPr>
        <w:pStyle w:val="BodyText"/>
      </w:pPr>
      <w:r>
        <w:t xml:space="preserve">Authorised by (Mason Ltd):</w:t>
      </w:r>
    </w:p>
    <w:p>
      <w:pPr>
        <w:pStyle w:val="BodyText"/>
      </w:pPr>
      <w:r>
        <w:t xml:space="preserve">Thomas R. Mason, Managing Director</w:t>
      </w:r>
    </w:p>
    <w:p>
      <w:pPr>
        <w:pStyle w:val="BodyText"/>
      </w:pPr>
      <w:r>
        <w:t xml:space="preserve">Date: 12 June 2025</w:t>
      </w:r>
    </w:p>
    <w:p>
      <w:pPr>
        <w:pStyle w:val="BodyText"/>
      </w:pPr>
      <w:r>
        <w:t xml:space="preserve">Signature: ___________________________</w:t>
      </w:r>
    </w:p>
    <w:p>
      <w:pPr>
        <w:pStyle w:val="BodyText"/>
      </w:pPr>
      <w:r>
        <w:t xml:space="preserve">Accepted by (Supplier):</w:t>
      </w:r>
    </w:p>
    <w:p>
      <w:pPr>
        <w:pStyle w:val="BodyText"/>
      </w:pPr>
      <w:r>
        <w:t xml:space="preserve">Sarah Whitfield, Accounts Manager</w:t>
      </w:r>
    </w:p>
    <w:p>
      <w:pPr>
        <w:pStyle w:val="BodyText"/>
      </w:pPr>
      <w:r>
        <w:t xml:space="preserve">Date: _______________</w:t>
      </w:r>
    </w:p>
    <w:p>
      <w:pPr>
        <w:pStyle w:val="BodyText"/>
      </w:pPr>
      <w:r>
        <w:t xml:space="preserve">Signature: ___________________________</w:t>
      </w:r>
    </w:p>
    <w:p>
      <w:pPr>
        <w:pStyle w:val="BodyText"/>
      </w:pPr>
      <w:r>
        <w:t xml:space="preserve">This Purchase Order (MASON-WGN-2025-0487) was issued by Mason Ltd, Wellington, New Zealand. All communications regarding this document should be directed to procurement@mason.co.nz. Mason Ltd is committed to sustainable procurement practices in the Wellington region and encourages suppliers to demonstrate environmental responsibility in their delivery and packaging methods. This document is valid for a period of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Ltd - New Zealand Wellington</dc:title>
  <dc:creator/>
  <dc:language>en</dc:language>
  <cp:keywords/>
  <dcterms:created xsi:type="dcterms:W3CDTF">2026-10-10T02:03:19Z</dcterms:created>
  <dcterms:modified xsi:type="dcterms:W3CDTF">2026-10-10T02:03:19Z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