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Masonry Construction Services &amp; Materials</w:t>
      </w:r>
    </w:p>
    <w:p>
      <w:pPr>
        <w:pStyle w:val="BodyText"/>
      </w:pPr>
      <w:r>
        <w:t xml:space="preserve">Peru Lima – Metropolitan District</w:t>
      </w:r>
    </w:p>
    <w:p>
      <w:pPr>
        <w:pStyle w:val="BodyText"/>
      </w:pPr>
      <w:r>
        <w:t xml:space="preserve">Document Reference: PO-LIM-2025-00472</w:t>
      </w:r>
    </w:p>
    <w:bookmarkEnd w:id="20"/>
    <w:p>
      <w:pPr>
        <w:pStyle w:val="BodyText"/>
      </w:pPr>
      <w:r>
        <w:rPr>
          <w:bCs/>
          <w:b/>
        </w:rPr>
        <w:t xml:space="preserve">Purchase Order No.:</w:t>
      </w:r>
      <w:r>
        <w:t xml:space="preserve"> </w:t>
      </w:r>
      <w:r>
        <w:t xml:space="preserve">PO-LIM-2025-00472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Location:</w:t>
      </w:r>
      <w:r>
        <w:t xml:space="preserve"> </w:t>
      </w:r>
      <w:r>
        <w:t xml:space="preserve">Av. Javier Prado Este 1250, San Isidro</w:t>
      </w:r>
      <w:r>
        <w:br/>
      </w:r>
      <w:r>
        <w:rPr>
          <w:bCs/>
          <w:b/>
        </w:rPr>
        <w:t xml:space="preserve">City:</w:t>
      </w:r>
      <w:r>
        <w:t xml:space="preserve"> </w:t>
      </w:r>
      <w:r>
        <w:t xml:space="preserve">Peru Lima, Lima Region</w:t>
      </w:r>
      <w:r>
        <w:br/>
      </w:r>
      <w:r>
        <w:rPr>
          <w:bCs/>
          <w:b/>
        </w:rPr>
        <w:t xml:space="preserve">Country:</w:t>
      </w:r>
      <w:r>
        <w:t xml:space="preserve"> </w:t>
      </w:r>
      <w:r>
        <w:t xml:space="preserve">Republic of Peru</w:t>
      </w:r>
    </w:p>
    <w:p>
      <w:pPr>
        <w:pStyle w:val="BodyText"/>
      </w:pPr>
      <w:r>
        <w:t xml:space="preserve">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(Ordering Party)</w:t>
            </w:r>
          </w:p>
        </w:tc>
        <w:tc>
          <w:tcPr/>
          <w:p>
            <w:pPr>
              <w:pStyle w:val="Compact"/>
              <w:jc w:val="left"/>
            </w:pPr>
            <w:r>
              <w:t xml:space="preserve">Supplier / Mason Contractor</w:t>
            </w:r>
          </w:p>
        </w:tc>
      </w:tr>
      <w:tr>
        <w:tc>
          <w:tcPr/>
          <w:p>
            <w:pPr>
              <w:pStyle w:val="Compact"/>
              <w:jc w:val="left"/>
            </w:pPr>
            <w:r>
              <w:rPr>
                <w:bCs/>
                <w:b/>
              </w:rPr>
              <w:t xml:space="preserve">Company:</w:t>
            </w:r>
            <w:r>
              <w:t xml:space="preserve"> </w:t>
            </w:r>
            <w:r>
              <w:t xml:space="preserve">Constructora Andina del Pacífico S.A.C.</w:t>
            </w:r>
            <w:r>
              <w:br/>
            </w:r>
            <w:r>
              <w:rPr>
                <w:bCs/>
                <w:b/>
              </w:rPr>
              <w:t xml:space="preserve">RUC:</w:t>
            </w:r>
            <w:r>
              <w:t xml:space="preserve"> </w:t>
            </w:r>
            <w:r>
              <w:t xml:space="preserve">20601234567</w:t>
            </w:r>
            <w:r>
              <w:br/>
            </w:r>
            <w:r>
              <w:rPr>
                <w:bCs/>
                <w:b/>
              </w:rPr>
              <w:t xml:space="preserve">Address:</w:t>
            </w:r>
            <w:r>
              <w:t xml:space="preserve"> </w:t>
            </w:r>
            <w:r>
              <w:t xml:space="preserve">Jr. Huancavelica 890, Miraflores, Peru Lima</w:t>
            </w:r>
            <w:r>
              <w:br/>
            </w:r>
            <w:r>
              <w:rPr>
                <w:bCs/>
                <w:b/>
              </w:rPr>
              <w:t xml:space="preserve">Contact:</w:t>
            </w:r>
            <w:r>
              <w:t xml:space="preserve"> </w:t>
            </w:r>
            <w:r>
              <w:t xml:space="preserve">Ing. Carlos Mendoza</w:t>
            </w:r>
            <w:r>
              <w:br/>
            </w:r>
            <w:r>
              <w:rPr>
                <w:bCs/>
                <w:b/>
              </w:rPr>
              <w:t xml:space="preserve">Email:</w:t>
            </w:r>
            <w:r>
              <w:t xml:space="preserve"> </w:t>
            </w:r>
            <w:r>
              <w:t xml:space="preserve">compras@andina-pacifico.pe</w:t>
            </w:r>
            <w:r>
              <w:br/>
            </w:r>
            <w:r>
              <w:rPr>
                <w:bCs/>
                <w:b/>
              </w:rPr>
              <w:t xml:space="preserve">Phone:</w:t>
            </w:r>
            <w:r>
              <w:t xml:space="preserve"> </w:t>
            </w:r>
            <w:r>
              <w:t xml:space="preserve">+51 1 445-6789</w:t>
            </w:r>
          </w:p>
        </w:tc>
        <w:tc>
          <w:tcPr/>
          <w:p>
            <w:pPr>
              <w:pStyle w:val="Compact"/>
              <w:jc w:val="left"/>
            </w:pPr>
            <w:r>
              <w:rPr>
                <w:bCs/>
                <w:b/>
              </w:rPr>
              <w:t xml:space="preserve">Company:</w:t>
            </w:r>
            <w:r>
              <w:t xml:space="preserve"> </w:t>
            </w:r>
            <w:r>
              <w:t xml:space="preserve">Taller de Albañilería y Masonería "Piedra Viva" E.I.R.L.</w:t>
            </w:r>
            <w:r>
              <w:br/>
            </w:r>
            <w:r>
              <w:rPr>
                <w:bCs/>
                <w:b/>
              </w:rPr>
              <w:t xml:space="preserve">RUC:</w:t>
            </w:r>
            <w:r>
              <w:t xml:space="preserve"> </w:t>
            </w:r>
            <w:r>
              <w:t xml:space="preserve">20598765432</w:t>
            </w:r>
            <w:r>
              <w:br/>
            </w:r>
            <w:r>
              <w:rPr>
                <w:bCs/>
                <w:b/>
              </w:rPr>
              <w:t xml:space="preserve">Address:</w:t>
            </w:r>
            <w:r>
              <w:t xml:space="preserve"> </w:t>
            </w:r>
            <w:r>
              <w:t xml:space="preserve">Av. La Marina 2340, Surco, Peru Lima</w:t>
            </w:r>
            <w:r>
              <w:br/>
            </w:r>
            <w:r>
              <w:rPr>
                <w:bCs/>
                <w:b/>
              </w:rPr>
              <w:t xml:space="preserve">Contact:</w:t>
            </w:r>
            <w:r>
              <w:t xml:space="preserve"> </w:t>
            </w:r>
            <w:r>
              <w:t xml:space="preserve">Sr. Roberto Quispe Mamani (Master Mason)</w:t>
            </w:r>
            <w:r>
              <w:br/>
            </w:r>
            <w:r>
              <w:rPr>
                <w:bCs/>
                <w:b/>
              </w:rPr>
              <w:t xml:space="preserve">Email:</w:t>
            </w:r>
            <w:r>
              <w:t xml:space="preserve"> </w:t>
            </w:r>
            <w:r>
              <w:t xml:space="preserve">info@piedraviva.pe</w:t>
            </w:r>
            <w:r>
              <w:br/>
            </w:r>
            <w:r>
              <w:rPr>
                <w:bCs/>
                <w:b/>
              </w:rPr>
              <w:t xml:space="preserve">Phone:</w:t>
            </w:r>
            <w:r>
              <w:t xml:space="preserve"> </w:t>
            </w:r>
            <w:r>
              <w:t xml:space="preserve">+51 1 478-2345</w:t>
            </w:r>
          </w:p>
        </w:tc>
      </w:tr>
    </w:tbl>
    <w:p>
      <w:pPr>
        <w:pStyle w:val="BodyText"/>
      </w:pPr>
      <w:r>
        <w:t xml:space="preserve">PURCHASE ORDER DESCRIPTION – MASON WORK SCOPE</w:t>
      </w:r>
    </w:p>
    <w:p>
      <w:pPr>
        <w:pStyle w:val="BodyText"/>
      </w:pPr>
      <w:r>
        <w:t xml:space="preserve">This Purchase Order is issued by Constructora Andina del Pacífico S.A.C. to authorize and request the execution of comprehensive masonry works at the residential development project "Residencial Costa Verde" located in the district of San Isidro, Peru Lima. The selected Mason contractor, Taller de Albañilería y Masonería "Piedra Viva" E.I.R.L., has been engaged based on their demonstrated expertise in structural masonry, decorative stonework, and traditional Peruvian construction techniques. The scope of masonry work encompasses the construction of load-bearing walls, foundation reinforcement, exterior cladding with natural stone, interior partition walls, and the installation of masonry arches and decorative elements throughout the building. All masonry work shall comply with the Peruvian Building Regulations (Reglamento Nacional de Edificaciones – RNE) and the specific technical standards established for the Lima metropolitan area.</w:t>
      </w:r>
    </w:p>
    <w:p>
      <w:pPr>
        <w:pStyle w:val="BodyText"/>
      </w:pPr>
      <w:r>
        <w:t xml:space="preserve">LINE ITEMS – MASON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(PEN)</w:t>
            </w:r>
          </w:p>
        </w:tc>
        <w:tc>
          <w:tcPr/>
          <w:p>
            <w:pPr>
              <w:pStyle w:val="Compact"/>
              <w:jc w:val="left"/>
            </w:pPr>
            <w:r>
              <w:t xml:space="preserve">Amount (PEN)</w:t>
            </w:r>
          </w:p>
        </w:tc>
      </w:tr>
      <w:tr>
        <w:tc>
          <w:tcPr/>
          <w:p>
            <w:pPr>
              <w:pStyle w:val="Compact"/>
              <w:jc w:val="left"/>
            </w:pPr>
            <w:r>
              <w:t xml:space="preserve">01</w:t>
            </w:r>
          </w:p>
        </w:tc>
        <w:tc>
          <w:tcPr/>
          <w:p>
            <w:pPr>
              <w:pStyle w:val="Compact"/>
              <w:jc w:val="left"/>
            </w:pPr>
            <w:r>
              <w:t xml:space="preserve">Structural masonry wall construction using 10x20x40 cm concrete blocks, including mortar mixing, laying, and curing for floors 1 through 8</w:t>
            </w:r>
          </w:p>
        </w:tc>
        <w:tc>
          <w:tcPr/>
          <w:p>
            <w:pPr>
              <w:pStyle w:val="Compact"/>
              <w:jc w:val="left"/>
            </w:pPr>
            <w:r>
              <w:t xml:space="preserve">m²</w:t>
            </w:r>
          </w:p>
        </w:tc>
        <w:tc>
          <w:tcPr/>
          <w:p>
            <w:pPr>
              <w:pStyle w:val="Compact"/>
              <w:jc w:val="left"/>
            </w:pPr>
            <w:r>
              <w:t xml:space="preserve">2,450</w:t>
            </w:r>
          </w:p>
        </w:tc>
        <w:tc>
          <w:tcPr/>
          <w:p>
            <w:pPr>
              <w:pStyle w:val="Compact"/>
              <w:jc w:val="left"/>
            </w:pPr>
            <w:r>
              <w:t xml:space="preserve">85.00</w:t>
            </w:r>
          </w:p>
        </w:tc>
        <w:tc>
          <w:tcPr/>
          <w:p>
            <w:pPr>
              <w:pStyle w:val="Compact"/>
              <w:jc w:val="left"/>
            </w:pPr>
            <w:r>
              <w:t xml:space="preserve">208,250.00</w:t>
            </w:r>
          </w:p>
        </w:tc>
      </w:tr>
      <w:tr>
        <w:tc>
          <w:tcPr/>
          <w:p>
            <w:pPr>
              <w:pStyle w:val="Compact"/>
              <w:jc w:val="left"/>
            </w:pPr>
            <w:r>
              <w:t xml:space="preserve">02</w:t>
            </w:r>
          </w:p>
        </w:tc>
        <w:tc>
          <w:tcPr/>
          <w:p>
            <w:pPr>
              <w:pStyle w:val="Compact"/>
              <w:jc w:val="left"/>
            </w:pPr>
            <w:r>
              <w:t xml:space="preserve">Foundation masonry reinforcement with reinforced concrete footings and masonry retaining walls at the Peru Lima project site</w:t>
            </w:r>
          </w:p>
        </w:tc>
        <w:tc>
          <w:tcPr/>
          <w:p>
            <w:pPr>
              <w:pStyle w:val="Compact"/>
              <w:jc w:val="left"/>
            </w:pPr>
            <w:r>
              <w:t xml:space="preserve">m³</w:t>
            </w:r>
          </w:p>
        </w:tc>
        <w:tc>
          <w:tcPr/>
          <w:p>
            <w:pPr>
              <w:pStyle w:val="Compact"/>
              <w:jc w:val="left"/>
            </w:pPr>
            <w:r>
              <w:t xml:space="preserve">180</w:t>
            </w:r>
          </w:p>
        </w:tc>
        <w:tc>
          <w:tcPr/>
          <w:p>
            <w:pPr>
              <w:pStyle w:val="Compact"/>
              <w:jc w:val="left"/>
            </w:pPr>
            <w:r>
              <w:t xml:space="preserve">620.00</w:t>
            </w:r>
          </w:p>
        </w:tc>
        <w:tc>
          <w:tcPr/>
          <w:p>
            <w:pPr>
              <w:pStyle w:val="Compact"/>
              <w:jc w:val="left"/>
            </w:pPr>
            <w:r>
              <w:t xml:space="preserve">111,600.00</w:t>
            </w:r>
          </w:p>
        </w:tc>
      </w:tr>
      <w:tr>
        <w:tc>
          <w:tcPr/>
          <w:p>
            <w:pPr>
              <w:pStyle w:val="Compact"/>
              <w:jc w:val="left"/>
            </w:pPr>
            <w:r>
              <w:t xml:space="preserve">03</w:t>
            </w:r>
          </w:p>
        </w:tc>
        <w:tc>
          <w:tcPr/>
          <w:p>
            <w:pPr>
              <w:pStyle w:val="Compact"/>
              <w:jc w:val="left"/>
            </w:pPr>
            <w:r>
              <w:t xml:space="preserve">Exterior masonry cladding using natural Andean stone (granite and basalt) sourced from Cusco, including cutting, fitting, and installation</w:t>
            </w:r>
          </w:p>
        </w:tc>
        <w:tc>
          <w:tcPr/>
          <w:p>
            <w:pPr>
              <w:pStyle w:val="Compact"/>
              <w:jc w:val="left"/>
            </w:pPr>
            <w:r>
              <w:t xml:space="preserve">m²</w:t>
            </w:r>
          </w:p>
        </w:tc>
        <w:tc>
          <w:tcPr/>
          <w:p>
            <w:pPr>
              <w:pStyle w:val="Compact"/>
              <w:jc w:val="left"/>
            </w:pPr>
            <w:r>
              <w:t xml:space="preserve">860</w:t>
            </w:r>
          </w:p>
        </w:tc>
        <w:tc>
          <w:tcPr/>
          <w:p>
            <w:pPr>
              <w:pStyle w:val="Compact"/>
              <w:jc w:val="left"/>
            </w:pPr>
            <w:r>
              <w:t xml:space="preserve">340.00</w:t>
            </w:r>
          </w:p>
        </w:tc>
        <w:tc>
          <w:tcPr/>
          <w:p>
            <w:pPr>
              <w:pStyle w:val="Compact"/>
              <w:jc w:val="left"/>
            </w:pPr>
            <w:r>
              <w:t xml:space="preserve">292,400.00</w:t>
            </w:r>
          </w:p>
        </w:tc>
      </w:tr>
      <w:tr>
        <w:tc>
          <w:tcPr/>
          <w:p>
            <w:pPr>
              <w:pStyle w:val="Compact"/>
              <w:jc w:val="left"/>
            </w:pPr>
            <w:r>
              <w:t xml:space="preserve">04</w:t>
            </w:r>
          </w:p>
        </w:tc>
        <w:tc>
          <w:tcPr/>
          <w:p>
            <w:pPr>
              <w:pStyle w:val="Compact"/>
              <w:jc w:val="left"/>
            </w:pPr>
            <w:r>
              <w:t xml:space="preserve">Interior masonry partition walls using 10x20x40 cm hollow blocks with 1.5 cm plaster finish on both faces</w:t>
            </w:r>
          </w:p>
        </w:tc>
        <w:tc>
          <w:tcPr/>
          <w:p>
            <w:pPr>
              <w:pStyle w:val="Compact"/>
              <w:jc w:val="left"/>
            </w:pPr>
            <w:r>
              <w:t xml:space="preserve">m²</w:t>
            </w:r>
          </w:p>
        </w:tc>
        <w:tc>
          <w:tcPr/>
          <w:p>
            <w:pPr>
              <w:pStyle w:val="Compact"/>
              <w:jc w:val="left"/>
            </w:pPr>
            <w:r>
              <w:t xml:space="preserve">3,200</w:t>
            </w:r>
          </w:p>
        </w:tc>
        <w:tc>
          <w:tcPr/>
          <w:p>
            <w:pPr>
              <w:pStyle w:val="Compact"/>
              <w:jc w:val="left"/>
            </w:pPr>
            <w:r>
              <w:t xml:space="preserve">68.00</w:t>
            </w:r>
          </w:p>
        </w:tc>
        <w:tc>
          <w:tcPr/>
          <w:p>
            <w:pPr>
              <w:pStyle w:val="Compact"/>
              <w:jc w:val="left"/>
            </w:pPr>
            <w:r>
              <w:t xml:space="preserve">217,600.00</w:t>
            </w:r>
          </w:p>
        </w:tc>
      </w:tr>
      <w:tr>
        <w:tc>
          <w:tcPr/>
          <w:p>
            <w:pPr>
              <w:pStyle w:val="Compact"/>
              <w:jc w:val="left"/>
            </w:pPr>
            <w:r>
              <w:t xml:space="preserve">05</w:t>
            </w:r>
          </w:p>
        </w:tc>
        <w:tc>
          <w:tcPr/>
          <w:p>
            <w:pPr>
              <w:pStyle w:val="Compact"/>
              <w:jc w:val="left"/>
            </w:pPr>
            <w:r>
              <w:t xml:space="preserve">Decorative masonry arches and lintels for entrance lobby and common areas, handcrafted by master Mason artisans</w:t>
            </w:r>
          </w:p>
        </w:tc>
        <w:tc>
          <w:tcPr/>
          <w:p>
            <w:pPr>
              <w:pStyle w:val="Compact"/>
              <w:jc w:val="left"/>
            </w:pPr>
            <w:r>
              <w:t xml:space="preserve">Unit</w:t>
            </w:r>
          </w:p>
        </w:tc>
        <w:tc>
          <w:tcPr/>
          <w:p>
            <w:pPr>
              <w:pStyle w:val="Compact"/>
              <w:jc w:val="left"/>
            </w:pPr>
            <w:r>
              <w:t xml:space="preserve">12</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06</w:t>
            </w:r>
          </w:p>
        </w:tc>
        <w:tc>
          <w:tcPr/>
          <w:p>
            <w:pPr>
              <w:pStyle w:val="Compact"/>
              <w:jc w:val="left"/>
            </w:pPr>
            <w:r>
              <w:t xml:space="preserve">Masonry staircase construction with reinforced concrete treads and stone nosing, including handrail masonry supports</w:t>
            </w:r>
          </w:p>
        </w:tc>
        <w:tc>
          <w:tcPr/>
          <w:p>
            <w:pPr>
              <w:pStyle w:val="Compact"/>
              <w:jc w:val="left"/>
            </w:pPr>
            <w:r>
              <w:t xml:space="preserve">Unit</w:t>
            </w:r>
          </w:p>
        </w:tc>
        <w:tc>
          <w:tcPr/>
          <w:p>
            <w:pPr>
              <w:pStyle w:val="Compact"/>
              <w:jc w:val="left"/>
            </w:pPr>
            <w:r>
              <w:t xml:space="preserve">4</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07</w:t>
            </w:r>
          </w:p>
        </w:tc>
        <w:tc>
          <w:tcPr/>
          <w:p>
            <w:pPr>
              <w:pStyle w:val="Compact"/>
              <w:jc w:val="left"/>
            </w:pPr>
            <w:r>
              <w:t xml:space="preserve">Supply of masonry materials: cement (Type I), sand, gravel, wire mesh, and specialized masonry adhesives for the Peru Lima project</w:t>
            </w:r>
          </w:p>
        </w:tc>
        <w:tc>
          <w:tcPr/>
          <w:p>
            <w:pPr>
              <w:pStyle w:val="Compact"/>
              <w:jc w:val="left"/>
            </w:pPr>
            <w:r>
              <w:t xml:space="preserve">Lot</w:t>
            </w:r>
          </w:p>
        </w:tc>
        <w:tc>
          <w:tcPr/>
          <w:p>
            <w:pPr>
              <w:pStyle w:val="Compact"/>
              <w:jc w:val="left"/>
            </w:pPr>
            <w:r>
              <w:t xml:space="preserve">1</w:t>
            </w:r>
          </w:p>
        </w:tc>
        <w:tc>
          <w:tcPr/>
          <w:p>
            <w:pPr>
              <w:pStyle w:val="Compact"/>
              <w:jc w:val="left"/>
            </w:pPr>
            <w:r>
              <w:t xml:space="preserve">96,500.00</w:t>
            </w:r>
          </w:p>
        </w:tc>
        <w:tc>
          <w:tcPr/>
          <w:p>
            <w:pPr>
              <w:pStyle w:val="Compact"/>
              <w:jc w:val="left"/>
            </w:pPr>
            <w:r>
              <w:t xml:space="preserve">96,500.00</w:t>
            </w:r>
          </w:p>
        </w:tc>
      </w:tr>
      <w:tr>
        <w:tc>
          <w:tcPr/>
          <w:p>
            <w:pPr>
              <w:pStyle w:val="Compact"/>
              <w:jc w:val="left"/>
            </w:pPr>
            <w:r>
              <w:t xml:space="preserve">08</w:t>
            </w:r>
          </w:p>
        </w:tc>
        <w:tc>
          <w:tcPr/>
          <w:p>
            <w:pPr>
              <w:pStyle w:val="Compact"/>
              <w:jc w:val="left"/>
            </w:pPr>
            <w:r>
              <w:t xml:space="preserve">Masonry waterproofing and sealing treatment for basement walls and exterior masonry surfaces</w:t>
            </w:r>
          </w:p>
        </w:tc>
        <w:tc>
          <w:tcPr/>
          <w:p>
            <w:pPr>
              <w:pStyle w:val="Compact"/>
              <w:jc w:val="left"/>
            </w:pPr>
            <w:r>
              <w:t xml:space="preserve">m²</w:t>
            </w:r>
          </w:p>
        </w:tc>
        <w:tc>
          <w:tcPr/>
          <w:p>
            <w:pPr>
              <w:pStyle w:val="Compact"/>
              <w:jc w:val="left"/>
            </w:pPr>
            <w:r>
              <w:t xml:space="preserve">1,100</w:t>
            </w:r>
          </w:p>
        </w:tc>
        <w:tc>
          <w:tcPr/>
          <w:p>
            <w:pPr>
              <w:pStyle w:val="Compact"/>
              <w:jc w:val="left"/>
            </w:pPr>
            <w:r>
              <w:t xml:space="preserve">42.00</w:t>
            </w:r>
          </w:p>
        </w:tc>
        <w:tc>
          <w:tcPr/>
          <w:p>
            <w:pPr>
              <w:pStyle w:val="Compact"/>
              <w:jc w:val="left"/>
            </w:pPr>
            <w:r>
              <w:t xml:space="preserve">46,200.00</w:t>
            </w:r>
          </w:p>
        </w:tc>
      </w:tr>
      <w:tr>
        <w:tc>
          <w:tcPr>
            <w:gridSpan w:val="5"/>
          </w:tcPr>
          <w:p>
            <w:pPr>
              <w:pStyle w:val="Compact"/>
              <w:jc w:val="right"/>
            </w:pPr>
            <w:r>
              <w:t xml:space="preserve">SUBTOTAL</w:t>
            </w:r>
          </w:p>
        </w:tc>
        <w:tc>
          <w:tcPr/>
          <w:p>
            <w:pPr>
              <w:pStyle w:val="Compact"/>
              <w:jc w:val="left"/>
            </w:pPr>
            <w:r>
              <w:t xml:space="preserve">1,104,150.00</w:t>
            </w:r>
          </w:p>
        </w:tc>
      </w:tr>
      <w:tr>
        <w:tc>
          <w:tcPr>
            <w:gridSpan w:val="5"/>
          </w:tcPr>
          <w:p>
            <w:pPr>
              <w:pStyle w:val="Compact"/>
              <w:jc w:val="right"/>
            </w:pPr>
            <w:r>
              <w:t xml:space="preserve">IGV (18% – Peru Tax)</w:t>
            </w:r>
          </w:p>
        </w:tc>
        <w:tc>
          <w:tcPr/>
          <w:p>
            <w:pPr>
              <w:pStyle w:val="Compact"/>
              <w:jc w:val="left"/>
            </w:pPr>
            <w:r>
              <w:t xml:space="preserve">198,747.00</w:t>
            </w:r>
          </w:p>
        </w:tc>
      </w:tr>
      <w:tr>
        <w:tc>
          <w:tcPr>
            <w:gridSpan w:val="5"/>
          </w:tcPr>
          <w:p>
            <w:pPr>
              <w:pStyle w:val="Compact"/>
              <w:jc w:val="right"/>
            </w:pPr>
            <w:r>
              <w:t xml:space="preserve">TOTAL PURCHASE ORDER AMOUNT (PEN)</w:t>
            </w:r>
          </w:p>
        </w:tc>
        <w:tc>
          <w:tcPr/>
          <w:p>
            <w:pPr>
              <w:pStyle w:val="Compact"/>
              <w:jc w:val="left"/>
            </w:pPr>
            <w:r>
              <w:t xml:space="preserve">1,302,897.00</w:t>
            </w:r>
          </w:p>
        </w:tc>
      </w:tr>
    </w:tbl>
    <w:p>
      <w:pPr>
        <w:pStyle w:val="BodyText"/>
      </w:pPr>
      <w:r>
        <w:t xml:space="preserve">TERMS AND CONDITIONS</w:t>
      </w:r>
    </w:p>
    <w:p>
      <w:pPr>
        <w:numPr>
          <w:ilvl w:val="0"/>
          <w:numId w:val="1001"/>
        </w:numPr>
        <w:pStyle w:val="Compact"/>
      </w:pPr>
      <w:r>
        <w:rPr>
          <w:bCs/>
          <w:b/>
        </w:rPr>
        <w:t xml:space="preserve">Delivery and Execution Location:</w:t>
      </w:r>
      <w:r>
        <w:t xml:space="preserve"> </w:t>
      </w:r>
      <w:r>
        <w:t xml:space="preserve">All masonry work and material deliveries shall be made to the project site located at Av. Javier Prado Este 1250, San Isidro, Peru Lima. The Mason contractor is responsible for transporting all materials and equipment to the designated site within the Lima metropolitan area.</w:t>
      </w:r>
    </w:p>
    <w:p>
      <w:pPr>
        <w:numPr>
          <w:ilvl w:val="0"/>
          <w:numId w:val="1001"/>
        </w:numPr>
        <w:pStyle w:val="Compact"/>
      </w:pPr>
      <w:r>
        <w:rPr>
          <w:bCs/>
          <w:b/>
        </w:rPr>
        <w:t xml:space="preserve">Timeline:</w:t>
      </w:r>
      <w:r>
        <w:t xml:space="preserve"> </w:t>
      </w:r>
      <w:r>
        <w:t xml:space="preserve">The masonry work shall commence on July 1, 2025, and must be completed no later than December 15, 2025. Any delays attributable to the Mason contractor shall incur a penalty of 0.5% of the total Purchase Order value per day of delay, up to a maximum of 10%.</w:t>
      </w:r>
    </w:p>
    <w:p>
      <w:pPr>
        <w:numPr>
          <w:ilvl w:val="0"/>
          <w:numId w:val="1001"/>
        </w:numPr>
        <w:pStyle w:val="Compact"/>
      </w:pPr>
      <w:r>
        <w:rPr>
          <w:bCs/>
          <w:b/>
        </w:rPr>
        <w:t xml:space="preserve">Payment Terms:</w:t>
      </w:r>
      <w:r>
        <w:t xml:space="preserve"> </w:t>
      </w:r>
      <w:r>
        <w:t xml:space="preserve">Payment shall be made in four (4) equal installments of PEN 325,724.25 each, due upon completion and inspection approval of each project phase. Payment will be made via bank transfer to the account specified by the Mason contractor within fifteen (15) business days of invoice approval.</w:t>
      </w:r>
    </w:p>
    <w:p>
      <w:pPr>
        <w:numPr>
          <w:ilvl w:val="0"/>
          <w:numId w:val="1001"/>
        </w:numPr>
        <w:pStyle w:val="Compact"/>
      </w:pPr>
      <w:r>
        <w:rPr>
          <w:bCs/>
          <w:b/>
        </w:rPr>
        <w:t xml:space="preserve">Quality Standards:</w:t>
      </w:r>
      <w:r>
        <w:t xml:space="preserve"> </w:t>
      </w:r>
      <w:r>
        <w:t xml:space="preserve">All masonry work must meet or exceed the specifications outlined in the RNE (Reglamento Nacional de Edificaciones) and the technical drawings approved by the project architect. The Mason contractor shall provide material certifications for all cement, stone, and structural elements used in the masonry construction.</w:t>
      </w:r>
    </w:p>
    <w:p>
      <w:pPr>
        <w:numPr>
          <w:ilvl w:val="0"/>
          <w:numId w:val="1001"/>
        </w:numPr>
        <w:pStyle w:val="Compact"/>
      </w:pPr>
      <w:r>
        <w:rPr>
          <w:bCs/>
          <w:b/>
        </w:rPr>
        <w:t xml:space="preserve">Permits and Compliance:</w:t>
      </w:r>
      <w:r>
        <w:t xml:space="preserve"> </w:t>
      </w:r>
      <w:r>
        <w:t xml:space="preserve">The Mason contractor shall ensure that all masonry activities comply with municipal regulations of the Lima Metropolitan Municipality (Municipalidad Metropolitana de Lima) and obtain any necessary work permits prior to commencement.</w:t>
      </w:r>
    </w:p>
    <w:p>
      <w:pPr>
        <w:numPr>
          <w:ilvl w:val="0"/>
          <w:numId w:val="1001"/>
        </w:numPr>
        <w:pStyle w:val="Compact"/>
      </w:pPr>
      <w:r>
        <w:rPr>
          <w:bCs/>
          <w:b/>
        </w:rPr>
        <w:t xml:space="preserve">Insurance:</w:t>
      </w:r>
      <w:r>
        <w:t xml:space="preserve"> </w:t>
      </w:r>
      <w:r>
        <w:t xml:space="preserve">The Mason contractor shall maintain comprehensive liability insurance and workers' compensation coverage (Seguro de Vida y Accidentes) for all personnel engaged in masonry work at the Peru Lima site throughout the duration of this Purchase Order.</w:t>
      </w:r>
    </w:p>
    <w:p>
      <w:pPr>
        <w:numPr>
          <w:ilvl w:val="0"/>
          <w:numId w:val="1001"/>
        </w:numPr>
        <w:pStyle w:val="Compact"/>
      </w:pPr>
      <w:r>
        <w:rPr>
          <w:bCs/>
          <w:b/>
        </w:rPr>
        <w:t xml:space="preserve">Warranty:</w:t>
      </w:r>
      <w:r>
        <w:t xml:space="preserve"> </w:t>
      </w:r>
      <w:r>
        <w:t xml:space="preserve">A structural masonry warranty of five (5) years and a finish masonry warranty of two (2) years shall apply from the date of final acceptance. Any defects in masonry workmanship or materials discovered within the warranty period shall be repaired at no additional cost to the Buyer.</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Peru Lima, in accordance with the Peruvian Arbitration Law (Ley de Arbitraje, D.S. 096-2009-PCM). The governing law shall be that of the Republic of Peru.</w:t>
      </w:r>
    </w:p>
    <w:p>
      <w:pPr>
        <w:numPr>
          <w:ilvl w:val="0"/>
          <w:numId w:val="1001"/>
        </w:numPr>
        <w:pStyle w:val="Compact"/>
      </w:pPr>
      <w:r>
        <w:rPr>
          <w:bCs/>
          <w:b/>
        </w:rPr>
        <w:t xml:space="preserve">Force Majeure:</w:t>
      </w:r>
      <w:r>
        <w:t xml:space="preserve"> </w:t>
      </w:r>
      <w:r>
        <w:t xml:space="preserve">Neither party shall be liable for delays caused by natural disasters, including seismic events common to the Peru Lima region, government mandates, or other events beyond reasonable control, provided written notice is given within 48 hours.</w:t>
      </w:r>
    </w:p>
    <w:p>
      <w:pPr>
        <w:numPr>
          <w:ilvl w:val="0"/>
          <w:numId w:val="1001"/>
        </w:numPr>
        <w:pStyle w:val="Compact"/>
      </w:pPr>
      <w:r>
        <w:rPr>
          <w:bCs/>
          <w:b/>
        </w:rPr>
        <w:t xml:space="preserve">Validity:</w:t>
      </w:r>
      <w:r>
        <w:t xml:space="preserve"> </w:t>
      </w:r>
      <w:r>
        <w:t xml:space="preserve">This Purchase Order is valid for thirty (30) days from the date of issue. Acceptance must be confirmed in writing by the Mason contractor within this period.</w:t>
      </w:r>
    </w:p>
    <w:p>
      <w:pPr>
        <w:pStyle w:val="FirstParagraph"/>
      </w:pPr>
      <w:r>
        <w:t xml:space="preserve">AUTHORIZATION AND ACCEPTANCE</w:t>
      </w:r>
    </w:p>
    <w:p>
      <w:pPr>
        <w:pStyle w:val="BodyText"/>
      </w:pPr>
      <w:r>
        <w:t xml:space="preserve">By signing below, both parties acknowledge and agree to all terms, conditions, and specifications outlined in this Purchase Order for masonry services and materials in Peru Lima. This document constitutes a binding agreement between the Buyer and the Mason contractor for the scope of work described herein.</w:t>
      </w:r>
    </w:p>
    <w:p>
      <w:pPr>
        <w:pStyle w:val="BodyText"/>
      </w:pPr>
      <w:r>
        <w:rPr>
          <w:bCs/>
          <w:b/>
        </w:rPr>
        <w:t xml:space="preserve">FOR THE BUYER</w:t>
      </w:r>
      <w:r>
        <w:br/>
      </w:r>
      <w:r>
        <w:t xml:space="preserve">Constructora Andina del Pacífico S.A.C.</w:t>
      </w:r>
      <w:r>
        <w:br/>
      </w:r>
      <w:r>
        <w:br/>
      </w:r>
      <w:r>
        <w:t xml:space="preserve">______________________________</w:t>
      </w:r>
      <w:r>
        <w:br/>
      </w:r>
      <w:r>
        <w:t xml:space="preserve">Ing. Carlos Mendoza</w:t>
      </w:r>
      <w:r>
        <w:br/>
      </w:r>
      <w:r>
        <w:t xml:space="preserve">Project Director</w:t>
      </w:r>
      <w:r>
        <w:br/>
      </w:r>
      <w:r>
        <w:t xml:space="preserve">Date: _______________</w:t>
      </w:r>
    </w:p>
    <w:p>
      <w:pPr>
        <w:pStyle w:val="BodyText"/>
      </w:pPr>
      <w:r>
        <w:rPr>
          <w:bCs/>
          <w:b/>
        </w:rPr>
        <w:t xml:space="preserve">FOR THE MASON CONTRACTOR</w:t>
      </w:r>
      <w:r>
        <w:br/>
      </w:r>
      <w:r>
        <w:t xml:space="preserve">Taller de Albañilería y Masonería "Piedra Viva" E.I.R.L.</w:t>
      </w:r>
      <w:r>
        <w:br/>
      </w:r>
      <w:r>
        <w:br/>
      </w:r>
      <w:r>
        <w:t xml:space="preserve">______________________________</w:t>
      </w:r>
      <w:r>
        <w:br/>
      </w:r>
      <w:r>
        <w:t xml:space="preserve">Sr. Roberto Quispe Mamani</w:t>
      </w:r>
      <w:r>
        <w:br/>
      </w:r>
      <w:r>
        <w:t xml:space="preserve">Master Mason / Owner</w:t>
      </w:r>
      <w:r>
        <w:br/>
      </w:r>
      <w:r>
        <w:t xml:space="preserve">Date: _______________</w:t>
      </w:r>
    </w:p>
    <w:p>
      <w:pPr>
        <w:pStyle w:val="BodyText"/>
      </w:pPr>
      <w:r>
        <w:t xml:space="preserve">Document generated in Peru Lima, Republic of Peru | Purchase Order PO-LIM-2025-00472 | Page 1 of 1</w:t>
      </w:r>
    </w:p>
    <w:p>
      <w:pPr>
        <w:pStyle w:val="BodyText"/>
      </w:pPr>
      <w:r>
        <w:t xml:space="preserve">This Purchase Order is issued in accordance with Peruvian commercial law and applies exclusively to masonry construction services rendered in the Lima metropolitan area.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Services - Peru Lima</dc:title>
  <dc:creator/>
  <dc:language>en</dc:language>
  <cp:keywords/>
  <dcterms:created xsi:type="dcterms:W3CDTF">2026-10-10T03:36:06Z</dcterms:created>
  <dcterms:modified xsi:type="dcterms:W3CDTF">2026-10-10T03:36:06Z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