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Materials</w:t>
      </w:r>
      <w:r>
        <w:t xml:space="preserve"> </w:t>
      </w:r>
      <w:r>
        <w:t xml:space="preserve">&amp;</w:t>
      </w:r>
      <w:r>
        <w:t xml:space="preserve"> </w:t>
      </w:r>
      <w:r>
        <w:t xml:space="preserve">Services,</w:t>
      </w:r>
      <w:r>
        <w:t xml:space="preserve"> </w:t>
      </w:r>
      <w:r>
        <w:t xml:space="preserve">Inc.</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Mason Construction Materials &amp; Services, Inc. — Philippines Manila</w:t>
      </w:r>
    </w:p>
    <w:p>
      <w:pPr>
        <w:pStyle w:val="BodyText"/>
      </w:pPr>
      <w:r>
        <w:t xml:space="preserve">Official Procurement Document for Masonry Works and Building Materials</w:t>
      </w:r>
    </w:p>
    <w:bookmarkEnd w:id="20"/>
    <w:p>
      <w:pPr>
        <w:pStyle w:val="BodyText"/>
      </w:pPr>
      <w:r>
        <w:rPr>
          <w:bCs/>
          <w:b/>
        </w:rPr>
        <w:t xml:space="preserve">Purchase Order No.:</w:t>
      </w:r>
      <w:r>
        <w:t xml:space="preserve"> </w:t>
      </w:r>
      <w:r>
        <w:t xml:space="preserve">PO-MAN-2025-04872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MNL-RES-2025-114</w:t>
      </w:r>
      <w:r>
        <w:br/>
      </w:r>
      <w:r>
        <w:rPr>
          <w:bCs/>
          <w:b/>
        </w:rPr>
        <w:t xml:space="preserve">Priority:</w:t>
      </w:r>
      <w:r>
        <w:t xml:space="preserve"> </w:t>
      </w:r>
      <w:r>
        <w:t xml:space="preserve">Standard Delivery</w:t>
      </w:r>
      <w:r>
        <w:br/>
      </w:r>
      <w:r>
        <w:rPr>
          <w:bCs/>
          <w:b/>
        </w:rPr>
        <w:t xml:space="preserve">Currency:</w:t>
      </w:r>
      <w:r>
        <w:t xml:space="preserve"> </w:t>
      </w:r>
      <w:r>
        <w:t xml:space="preserve">Philippine Peso (PHP)</w:t>
      </w:r>
    </w:p>
    <w:p>
      <w:pPr>
        <w:pStyle w:val="BodyText"/>
      </w:pPr>
      <w:r>
        <w:t xml:space="preserve">Parties Involved</w:t>
      </w:r>
    </w:p>
    <w:bookmarkStart w:id="21" w:name="buyer-purchasing-party"/>
    <w:p>
      <w:pPr>
        <w:pStyle w:val="Heading3"/>
      </w:pPr>
      <w:r>
        <w:t xml:space="preserve">Buyer (Purchasing Party)</w:t>
      </w:r>
    </w:p>
    <w:p>
      <w:pPr>
        <w:pStyle w:val="FirstParagraph"/>
      </w:pPr>
      <w:r>
        <w:rPr>
          <w:bCs/>
          <w:b/>
        </w:rPr>
        <w:t xml:space="preserve">Company:</w:t>
      </w:r>
      <w:r>
        <w:t xml:space="preserve"> </w:t>
      </w:r>
      <w:r>
        <w:t xml:space="preserve">Metro Manila Development Corporation</w:t>
      </w:r>
    </w:p>
    <w:p>
      <w:pPr>
        <w:pStyle w:val="BodyText"/>
      </w:pPr>
      <w:r>
        <w:rPr>
          <w:bCs/>
          <w:b/>
        </w:rPr>
        <w:t xml:space="preserve">Address:</w:t>
      </w:r>
      <w:r>
        <w:t xml:space="preserve"> </w:t>
      </w:r>
      <w:r>
        <w:t xml:space="preserve">128 Ayala Avenue, Makati City, Philippines Manila, 1200</w:t>
      </w:r>
    </w:p>
    <w:p>
      <w:pPr>
        <w:pStyle w:val="BodyText"/>
      </w:pPr>
      <w:r>
        <w:rPr>
          <w:bCs/>
          <w:b/>
        </w:rPr>
        <w:t xml:space="preserve">Contact Person:</w:t>
      </w:r>
      <w:r>
        <w:t xml:space="preserve"> </w:t>
      </w:r>
      <w:r>
        <w:t xml:space="preserve">Engr. Ricardo S. Villanueva</w:t>
      </w:r>
    </w:p>
    <w:p>
      <w:pPr>
        <w:pStyle w:val="BodyText"/>
      </w:pPr>
      <w:r>
        <w:rPr>
          <w:bCs/>
          <w:b/>
        </w:rPr>
        <w:t xml:space="preserve">Phone:</w:t>
      </w:r>
      <w:r>
        <w:t xml:space="preserve"> </w:t>
      </w:r>
      <w:r>
        <w:t xml:space="preserve">+63 (2) 8834-5671</w:t>
      </w:r>
    </w:p>
    <w:p>
      <w:pPr>
        <w:pStyle w:val="BodyText"/>
      </w:pPr>
      <w:r>
        <w:rPr>
          <w:bCs/>
          <w:b/>
        </w:rPr>
        <w:t xml:space="preserve">Email:</w:t>
      </w:r>
      <w:r>
        <w:t xml:space="preserve"> </w:t>
      </w:r>
      <w:r>
        <w:t xml:space="preserve">procurement@mmdevcorp.ph</w:t>
      </w:r>
    </w:p>
    <w:p>
      <w:pPr>
        <w:pStyle w:val="BodyText"/>
      </w:pPr>
      <w:r>
        <w:rPr>
          <w:bCs/>
          <w:b/>
        </w:rPr>
        <w:t xml:space="preserve">TIN:</w:t>
      </w:r>
      <w:r>
        <w:t xml:space="preserve"> </w:t>
      </w:r>
      <w:r>
        <w:t xml:space="preserve">000-123-456-000</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Mason Construction Materials &amp; Services, Inc.</w:t>
      </w:r>
    </w:p>
    <w:p>
      <w:pPr>
        <w:pStyle w:val="BodyText"/>
      </w:pPr>
      <w:r>
        <w:rPr>
          <w:bCs/>
          <w:b/>
        </w:rPr>
        <w:t xml:space="preserve">Address:</w:t>
      </w:r>
      <w:r>
        <w:t xml:space="preserve"> </w:t>
      </w:r>
      <w:r>
        <w:t xml:space="preserve">45 EDSA Cor. Shaw Boulevard, Quezon City, Philippines Manila, 1103</w:t>
      </w:r>
    </w:p>
    <w:p>
      <w:pPr>
        <w:pStyle w:val="BodyText"/>
      </w:pPr>
      <w:r>
        <w:rPr>
          <w:bCs/>
          <w:b/>
        </w:rPr>
        <w:t xml:space="preserve">Contact Person:</w:t>
      </w:r>
      <w:r>
        <w:t xml:space="preserve"> </w:t>
      </w:r>
      <w:r>
        <w:t xml:space="preserve">Mr. James T. Mason</w:t>
      </w:r>
    </w:p>
    <w:p>
      <w:pPr>
        <w:pStyle w:val="BodyText"/>
      </w:pPr>
      <w:r>
        <w:rPr>
          <w:bCs/>
          <w:b/>
        </w:rPr>
        <w:t xml:space="preserve">Phone:</w:t>
      </w:r>
      <w:r>
        <w:t xml:space="preserve"> </w:t>
      </w:r>
      <w:r>
        <w:t xml:space="preserve">+63 (2) 8712-3390</w:t>
      </w:r>
    </w:p>
    <w:p>
      <w:pPr>
        <w:pStyle w:val="BodyText"/>
      </w:pPr>
      <w:r>
        <w:rPr>
          <w:bCs/>
          <w:b/>
        </w:rPr>
        <w:t xml:space="preserve">Email:</w:t>
      </w:r>
      <w:r>
        <w:t xml:space="preserve"> </w:t>
      </w:r>
      <w:r>
        <w:t xml:space="preserve">sales@masonbuild.ph</w:t>
      </w:r>
    </w:p>
    <w:p>
      <w:pPr>
        <w:pStyle w:val="BodyText"/>
      </w:pPr>
      <w:r>
        <w:rPr>
          <w:bCs/>
          <w:b/>
        </w:rPr>
        <w:t xml:space="preserve">TIN:</w:t>
      </w:r>
      <w:r>
        <w:t xml:space="preserve"> </w:t>
      </w:r>
      <w:r>
        <w:t xml:space="preserve">000-987-654-000</w:t>
      </w:r>
    </w:p>
    <w:bookmarkEnd w:id="22"/>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Metro Manila Development Corporation to</w:t>
      </w:r>
      <w:r>
        <w:t xml:space="preserve"> </w:t>
      </w:r>
      <w:r>
        <w:t xml:space="preserve">Mason</w:t>
      </w:r>
      <w:r>
        <w:t xml:space="preserve"> </w:t>
      </w:r>
      <w:r>
        <w:t xml:space="preserve">Construction Materials &amp; Services, Inc. for the supply of masonry building materials and the provision of licensed</w:t>
      </w:r>
      <w:r>
        <w:t xml:space="preserve"> </w:t>
      </w:r>
      <w:r>
        <w:t xml:space="preserve">Mason</w:t>
      </w:r>
      <w:r>
        <w:t xml:space="preserve"> </w:t>
      </w:r>
      <w:r>
        <w:t xml:space="preserve">(mason) labor services for the residential construction project located in the Philippines Manila metropolitan area. The scope of this order encompasses all materials, tools, and skilled mason labor required for the completion of Phase 2 masonry works, including but not limited to bricklaying, concrete block installation, plastering, and structural mortar application.</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Total Amount (PHP)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Red Clay Bricks (7.5" x 3.5" x 2.5"), Mason-grade, Philippines Manila standard</w:t>
            </w:r>
          </w:p>
        </w:tc>
        <w:tc>
          <w:tcPr/>
          <w:p>
            <w:pPr>
              <w:pStyle w:val="Compact"/>
              <w:jc w:val="left"/>
            </w:pPr>
            <w:r>
              <w:t xml:space="preserve">120,000</w:t>
            </w:r>
          </w:p>
        </w:tc>
        <w:tc>
          <w:tcPr/>
          <w:p>
            <w:pPr>
              <w:pStyle w:val="Compact"/>
              <w:jc w:val="left"/>
            </w:pPr>
            <w:r>
              <w:t xml:space="preserve">pieces</w:t>
            </w:r>
          </w:p>
        </w:tc>
        <w:tc>
          <w:tcPr/>
          <w:p>
            <w:pPr>
              <w:pStyle w:val="Compact"/>
              <w:jc w:val="left"/>
            </w:pPr>
            <w:r>
              <w:t xml:space="preserve">18.50</w:t>
            </w:r>
          </w:p>
        </w:tc>
        <w:tc>
          <w:tcPr/>
          <w:p>
            <w:pPr>
              <w:pStyle w:val="Compact"/>
              <w:jc w:val="left"/>
            </w:pPr>
            <w:r>
              <w:t xml:space="preserve">2,220,000.00</w:t>
            </w:r>
          </w:p>
        </w:tc>
        <w:tc>
          <w:tcPr/>
          <w:p>
            <w:pPr>
              <w:pStyle w:val="Compact"/>
              <w:jc w:val="left"/>
            </w:pPr>
            <w:r>
              <w:t xml:space="preserve">June 20, 2025</w:t>
            </w:r>
          </w:p>
        </w:tc>
      </w:tr>
      <w:tr>
        <w:tc>
          <w:tcPr/>
          <w:p>
            <w:pPr>
              <w:pStyle w:val="Compact"/>
              <w:jc w:val="left"/>
            </w:pPr>
            <w:r>
              <w:t xml:space="preserve">2</w:t>
            </w:r>
          </w:p>
        </w:tc>
        <w:tc>
          <w:tcPr/>
          <w:p>
            <w:pPr>
              <w:pStyle w:val="Compact"/>
              <w:jc w:val="left"/>
            </w:pPr>
            <w:r>
              <w:t xml:space="preserve">Portland Cement Type I, 40 kg bags, Mason-approved brand</w:t>
            </w:r>
          </w:p>
        </w:tc>
        <w:tc>
          <w:tcPr/>
          <w:p>
            <w:pPr>
              <w:pStyle w:val="Compact"/>
              <w:jc w:val="left"/>
            </w:pPr>
            <w:r>
              <w:t xml:space="preserve">3,500</w:t>
            </w:r>
          </w:p>
        </w:tc>
        <w:tc>
          <w:tcPr/>
          <w:p>
            <w:pPr>
              <w:pStyle w:val="Compact"/>
              <w:jc w:val="left"/>
            </w:pPr>
            <w:r>
              <w:t xml:space="preserve">bags</w:t>
            </w:r>
          </w:p>
        </w:tc>
        <w:tc>
          <w:tcPr/>
          <w:p>
            <w:pPr>
              <w:pStyle w:val="Compact"/>
              <w:jc w:val="left"/>
            </w:pPr>
            <w:r>
              <w:t xml:space="preserve">485.00</w:t>
            </w:r>
          </w:p>
        </w:tc>
        <w:tc>
          <w:tcPr/>
          <w:p>
            <w:pPr>
              <w:pStyle w:val="Compact"/>
              <w:jc w:val="left"/>
            </w:pPr>
            <w:r>
              <w:t xml:space="preserve">1,697,500.00</w:t>
            </w:r>
          </w:p>
        </w:tc>
        <w:tc>
          <w:tcPr/>
          <w:p>
            <w:pPr>
              <w:pStyle w:val="Compact"/>
              <w:jc w:val="left"/>
            </w:pPr>
            <w:r>
              <w:t xml:space="preserve">June 20, 2025</w:t>
            </w:r>
          </w:p>
        </w:tc>
      </w:tr>
      <w:tr>
        <w:tc>
          <w:tcPr/>
          <w:p>
            <w:pPr>
              <w:pStyle w:val="Compact"/>
              <w:jc w:val="left"/>
            </w:pPr>
            <w:r>
              <w:t xml:space="preserve">3</w:t>
            </w:r>
          </w:p>
        </w:tc>
        <w:tc>
          <w:tcPr/>
          <w:p>
            <w:pPr>
              <w:pStyle w:val="Compact"/>
              <w:jc w:val="left"/>
            </w:pPr>
            <w:r>
              <w:t xml:space="preserve">Sharp Sand (Mason-grade, washed), Philippines Manila quarry source</w:t>
            </w:r>
          </w:p>
        </w:tc>
        <w:tc>
          <w:tcPr/>
          <w:p>
            <w:pPr>
              <w:pStyle w:val="Compact"/>
              <w:jc w:val="left"/>
            </w:pPr>
            <w:r>
              <w:t xml:space="preserve">45</w:t>
            </w:r>
          </w:p>
        </w:tc>
        <w:tc>
          <w:tcPr/>
          <w:p>
            <w:pPr>
              <w:pStyle w:val="Compact"/>
              <w:jc w:val="left"/>
            </w:pPr>
            <w:r>
              <w:t xml:space="preserve">cubic meters</w:t>
            </w:r>
          </w:p>
        </w:tc>
        <w:tc>
          <w:tcPr/>
          <w:p>
            <w:pPr>
              <w:pStyle w:val="Compact"/>
              <w:jc w:val="left"/>
            </w:pPr>
            <w:r>
              <w:t xml:space="preserve">1,850.00</w:t>
            </w:r>
          </w:p>
        </w:tc>
        <w:tc>
          <w:tcPr/>
          <w:p>
            <w:pPr>
              <w:pStyle w:val="Compact"/>
              <w:jc w:val="left"/>
            </w:pPr>
            <w:r>
              <w:t xml:space="preserve">83,250.00</w:t>
            </w:r>
          </w:p>
        </w:tc>
        <w:tc>
          <w:tcPr/>
          <w:p>
            <w:pPr>
              <w:pStyle w:val="Compact"/>
              <w:jc w:val="left"/>
            </w:pPr>
            <w:r>
              <w:t xml:space="preserve">June 22, 2025</w:t>
            </w:r>
          </w:p>
        </w:tc>
      </w:tr>
      <w:tr>
        <w:tc>
          <w:tcPr/>
          <w:p>
            <w:pPr>
              <w:pStyle w:val="Compact"/>
              <w:jc w:val="left"/>
            </w:pPr>
            <w:r>
              <w:t xml:space="preserve">4</w:t>
            </w:r>
          </w:p>
        </w:tc>
        <w:tc>
          <w:tcPr/>
          <w:p>
            <w:pPr>
              <w:pStyle w:val="Compact"/>
              <w:jc w:val="left"/>
            </w:pPr>
            <w:r>
              <w:t xml:space="preserve">Structural Masonry Mortar Mix, pre-blended, 25 kg bags</w:t>
            </w:r>
          </w:p>
        </w:tc>
        <w:tc>
          <w:tcPr/>
          <w:p>
            <w:pPr>
              <w:pStyle w:val="Compact"/>
              <w:jc w:val="left"/>
            </w:pPr>
            <w:r>
              <w:t xml:space="preserve">2,000</w:t>
            </w:r>
          </w:p>
        </w:tc>
        <w:tc>
          <w:tcPr/>
          <w:p>
            <w:pPr>
              <w:pStyle w:val="Compact"/>
              <w:jc w:val="left"/>
            </w:pPr>
            <w:r>
              <w:t xml:space="preserve">bags</w:t>
            </w:r>
          </w:p>
        </w:tc>
        <w:tc>
          <w:tcPr/>
          <w:p>
            <w:pPr>
              <w:pStyle w:val="Compact"/>
              <w:jc w:val="left"/>
            </w:pPr>
            <w:r>
              <w:t xml:space="preserve">310.00</w:t>
            </w:r>
          </w:p>
        </w:tc>
        <w:tc>
          <w:tcPr/>
          <w:p>
            <w:pPr>
              <w:pStyle w:val="Compact"/>
              <w:jc w:val="left"/>
            </w:pPr>
            <w:r>
              <w:t xml:space="preserve">620,000.00</w:t>
            </w:r>
          </w:p>
        </w:tc>
        <w:tc>
          <w:tcPr/>
          <w:p>
            <w:pPr>
              <w:pStyle w:val="Compact"/>
              <w:jc w:val="left"/>
            </w:pPr>
            <w:r>
              <w:t xml:space="preserve">June 22, 2025</w:t>
            </w:r>
          </w:p>
        </w:tc>
      </w:tr>
      <w:tr>
        <w:tc>
          <w:tcPr/>
          <w:p>
            <w:pPr>
              <w:pStyle w:val="Compact"/>
              <w:jc w:val="left"/>
            </w:pPr>
            <w:r>
              <w:t xml:space="preserve">5</w:t>
            </w:r>
          </w:p>
        </w:tc>
        <w:tc>
          <w:tcPr/>
          <w:p>
            <w:pPr>
              <w:pStyle w:val="Compact"/>
              <w:jc w:val="left"/>
            </w:pPr>
            <w:r>
              <w:t xml:space="preserve">Licensed Mason Labor (skilled mason crew of 12), daily rate per mason</w:t>
            </w:r>
          </w:p>
        </w:tc>
        <w:tc>
          <w:tcPr/>
          <w:p>
            <w:pPr>
              <w:pStyle w:val="Compact"/>
              <w:jc w:val="left"/>
            </w:pPr>
            <w:r>
              <w:t xml:space="preserve">45</w:t>
            </w:r>
          </w:p>
        </w:tc>
        <w:tc>
          <w:tcPr/>
          <w:p>
            <w:pPr>
              <w:pStyle w:val="Compact"/>
              <w:jc w:val="left"/>
            </w:pPr>
            <w:r>
              <w:t xml:space="preserve">man-days</w:t>
            </w:r>
          </w:p>
        </w:tc>
        <w:tc>
          <w:tcPr/>
          <w:p>
            <w:pPr>
              <w:pStyle w:val="Compact"/>
              <w:jc w:val="left"/>
            </w:pPr>
            <w:r>
              <w:t xml:space="preserve">1,200.00</w:t>
            </w:r>
          </w:p>
        </w:tc>
        <w:tc>
          <w:tcPr/>
          <w:p>
            <w:pPr>
              <w:pStyle w:val="Compact"/>
              <w:jc w:val="left"/>
            </w:pPr>
            <w:r>
              <w:t xml:space="preserve">54,000.00</w:t>
            </w:r>
          </w:p>
        </w:tc>
        <w:tc>
          <w:tcPr/>
          <w:p>
            <w:pPr>
              <w:pStyle w:val="Compact"/>
              <w:jc w:val="left"/>
            </w:pPr>
            <w:r>
              <w:t xml:space="preserve">June 23 – July 15</w:t>
            </w:r>
          </w:p>
        </w:tc>
      </w:tr>
      <w:tr>
        <w:tc>
          <w:tcPr/>
          <w:p>
            <w:pPr>
              <w:pStyle w:val="Compact"/>
              <w:jc w:val="left"/>
            </w:pPr>
            <w:r>
              <w:t xml:space="preserve">6</w:t>
            </w:r>
          </w:p>
        </w:tc>
        <w:tc>
          <w:tcPr/>
          <w:p>
            <w:pPr>
              <w:pStyle w:val="Compact"/>
              <w:jc w:val="left"/>
            </w:pPr>
            <w:r>
              <w:t xml:space="preserve">Mason Tools Kit (trowels, levels, plumb bobs, mixing hoppers) — 6 sets</w:t>
            </w:r>
          </w:p>
        </w:tc>
        <w:tc>
          <w:tcPr/>
          <w:p>
            <w:pPr>
              <w:pStyle w:val="Compact"/>
              <w:jc w:val="left"/>
            </w:pPr>
            <w:r>
              <w:t xml:space="preserve">6</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June 23, 2025</w:t>
            </w:r>
          </w:p>
        </w:tc>
      </w:tr>
      <w:tr>
        <w:tc>
          <w:tcPr/>
          <w:p>
            <w:pPr>
              <w:pStyle w:val="Compact"/>
              <w:jc w:val="left"/>
            </w:pPr>
            <w:r>
              <w:t xml:space="preserve">7</w:t>
            </w:r>
          </w:p>
        </w:tc>
        <w:tc>
          <w:tcPr/>
          <w:p>
            <w:pPr>
              <w:pStyle w:val="Compact"/>
              <w:jc w:val="left"/>
            </w:pPr>
            <w:r>
              <w:t xml:space="preserve">Steel Reinforcement Bars (rebar), 12 mm diameter, Mason-specification</w:t>
            </w:r>
          </w:p>
        </w:tc>
        <w:tc>
          <w:tcPr/>
          <w:p>
            <w:pPr>
              <w:pStyle w:val="Compact"/>
              <w:jc w:val="left"/>
            </w:pPr>
            <w:r>
              <w:t xml:space="preserve">8,000</w:t>
            </w:r>
          </w:p>
        </w:tc>
        <w:tc>
          <w:tcPr/>
          <w:p>
            <w:pPr>
              <w:pStyle w:val="Compact"/>
              <w:jc w:val="left"/>
            </w:pPr>
            <w:r>
              <w:t xml:space="preserve">meters</w:t>
            </w:r>
          </w:p>
        </w:tc>
        <w:tc>
          <w:tcPr/>
          <w:p>
            <w:pPr>
              <w:pStyle w:val="Compact"/>
              <w:jc w:val="left"/>
            </w:pPr>
            <w:r>
              <w:t xml:space="preserve">145.00</w:t>
            </w:r>
          </w:p>
        </w:tc>
        <w:tc>
          <w:tcPr/>
          <w:p>
            <w:pPr>
              <w:pStyle w:val="Compact"/>
              <w:jc w:val="left"/>
            </w:pPr>
            <w:r>
              <w:t xml:space="preserve">1,160,000.00</w:t>
            </w:r>
          </w:p>
        </w:tc>
        <w:tc>
          <w:tcPr/>
          <w:p>
            <w:pPr>
              <w:pStyle w:val="Compact"/>
              <w:jc w:val="left"/>
            </w:pPr>
            <w:r>
              <w:t xml:space="preserve">June 25, 2025</w:t>
            </w:r>
          </w:p>
        </w:tc>
      </w:tr>
      <w:tr>
        <w:tc>
          <w:tcPr/>
          <w:p>
            <w:pPr>
              <w:pStyle w:val="Compact"/>
              <w:jc w:val="left"/>
            </w:pPr>
            <w:r>
              <w:t xml:space="preserve">8</w:t>
            </w:r>
          </w:p>
        </w:tc>
        <w:tc>
          <w:tcPr/>
          <w:p>
            <w:pPr>
              <w:pStyle w:val="Compact"/>
              <w:jc w:val="left"/>
            </w:pPr>
            <w:r>
              <w:t xml:space="preserve">Waterproofing Compound for Masonry Joints, Philippines Manila climate-rated</w:t>
            </w:r>
          </w:p>
        </w:tc>
        <w:tc>
          <w:tcPr/>
          <w:p>
            <w:pPr>
              <w:pStyle w:val="Compact"/>
              <w:jc w:val="left"/>
            </w:pPr>
            <w:r>
              <w:t xml:space="preserve">150</w:t>
            </w:r>
          </w:p>
        </w:tc>
        <w:tc>
          <w:tcPr/>
          <w:p>
            <w:pPr>
              <w:pStyle w:val="Compact"/>
              <w:jc w:val="left"/>
            </w:pPr>
            <w:r>
              <w:t xml:space="preserve">liters</w:t>
            </w:r>
          </w:p>
        </w:tc>
        <w:tc>
          <w:tcPr/>
          <w:p>
            <w:pPr>
              <w:pStyle w:val="Compact"/>
              <w:jc w:val="left"/>
            </w:pPr>
            <w:r>
              <w:t xml:space="preserve">420.00</w:t>
            </w:r>
          </w:p>
        </w:tc>
        <w:tc>
          <w:tcPr/>
          <w:p>
            <w:pPr>
              <w:pStyle w:val="Compact"/>
              <w:jc w:val="left"/>
            </w:pPr>
            <w:r>
              <w:t xml:space="preserve">63,000.00</w:t>
            </w:r>
          </w:p>
        </w:tc>
        <w:tc>
          <w:tcPr/>
          <w:p>
            <w:pPr>
              <w:pStyle w:val="Compact"/>
              <w:jc w:val="left"/>
            </w:pPr>
            <w:r>
              <w:t xml:space="preserve">June 25, 2025</w:t>
            </w:r>
          </w:p>
        </w:tc>
      </w:tr>
      <w:tr>
        <w:tc>
          <w:tcPr>
            <w:gridSpan w:val="5"/>
          </w:tcPr>
          <w:p>
            <w:pPr>
              <w:pStyle w:val="Compact"/>
              <w:jc w:val="right"/>
            </w:pPr>
            <w:r>
              <w:t xml:space="preserve">Subtotal:</w:t>
            </w:r>
          </w:p>
        </w:tc>
        <w:tc>
          <w:tcPr/>
          <w:p>
            <w:pPr>
              <w:pStyle w:val="Compact"/>
              <w:jc w:val="left"/>
            </w:pPr>
            <w:r>
              <w:t xml:space="preserve">6,648,750.00</w:t>
            </w:r>
          </w:p>
        </w:tc>
        <w:tc>
          <w:tcPr/>
          <w:p>
            <w:pPr>
              <w:pStyle w:val="Compact"/>
            </w:pPr>
          </w:p>
        </w:tc>
      </w:tr>
      <w:tr>
        <w:tc>
          <w:tcPr>
            <w:gridSpan w:val="5"/>
          </w:tcPr>
          <w:p>
            <w:pPr>
              <w:pStyle w:val="Compact"/>
              <w:jc w:val="right"/>
            </w:pPr>
            <w:r>
              <w:t xml:space="preserve">VAT (12%):</w:t>
            </w:r>
          </w:p>
        </w:tc>
        <w:tc>
          <w:tcPr/>
          <w:p>
            <w:pPr>
              <w:pStyle w:val="Compact"/>
              <w:jc w:val="left"/>
            </w:pPr>
            <w:r>
              <w:t xml:space="preserve">797,850.00</w:t>
            </w:r>
          </w:p>
        </w:tc>
        <w:tc>
          <w:tcPr/>
          <w:p>
            <w:pPr>
              <w:pStyle w:val="Compact"/>
            </w:pPr>
          </w:p>
        </w:tc>
      </w:tr>
      <w:tr>
        <w:tc>
          <w:tcPr>
            <w:gridSpan w:val="5"/>
          </w:tcPr>
          <w:p>
            <w:pPr>
              <w:pStyle w:val="Compact"/>
              <w:jc w:val="right"/>
            </w:pPr>
            <w:r>
              <w:t xml:space="preserve">Delivery &amp; Handling (Philippines Manila):</w:t>
            </w:r>
          </w:p>
        </w:tc>
        <w:tc>
          <w:tcPr/>
          <w:p>
            <w:pPr>
              <w:pStyle w:val="Compact"/>
              <w:jc w:val="left"/>
            </w:pPr>
            <w:r>
              <w:t xml:space="preserve">45,000.00</w:t>
            </w:r>
          </w:p>
        </w:tc>
        <w:tc>
          <w:tcPr/>
          <w:p>
            <w:pPr>
              <w:pStyle w:val="Compact"/>
            </w:pPr>
          </w:p>
        </w:tc>
      </w:tr>
      <w:tr>
        <w:tc>
          <w:tcPr>
            <w:gridSpan w:val="5"/>
          </w:tcPr>
          <w:p>
            <w:pPr>
              <w:pStyle w:val="Compact"/>
              <w:jc w:val="right"/>
            </w:pPr>
            <w:r>
              <w:t xml:space="preserve">GRAND TOTAL:</w:t>
            </w:r>
          </w:p>
        </w:tc>
        <w:tc>
          <w:tcPr/>
          <w:p>
            <w:pPr>
              <w:pStyle w:val="Compact"/>
              <w:jc w:val="left"/>
            </w:pPr>
            <w:r>
              <w:t xml:space="preserve">7,491,600.00</w:t>
            </w:r>
          </w:p>
        </w:tc>
        <w:tc>
          <w:tcPr/>
          <w:p>
            <w:pPr>
              <w:pStyle w:val="Compact"/>
            </w:pPr>
          </w:p>
        </w:tc>
      </w:tr>
    </w:tbl>
    <w:p>
      <w:pPr>
        <w:pStyle w:val="BodyText"/>
      </w:pPr>
      <w:r>
        <w:t xml:space="preserve">Delivery and Site Details</w:t>
      </w:r>
    </w:p>
    <w:p>
      <w:pPr>
        <w:pStyle w:val="BodyText"/>
      </w:pPr>
      <w:r>
        <w:t xml:space="preserve">All materials and mason labor services under this</w:t>
      </w:r>
      <w:r>
        <w:t xml:space="preserve"> </w:t>
      </w:r>
      <w:r>
        <w:t xml:space="preserve">Purchase Order</w:t>
      </w:r>
      <w:r>
        <w:t xml:space="preserve"> </w:t>
      </w:r>
      <w:r>
        <w:t xml:space="preserve">shall be delivered to the project site located at 78 Mabini Street, Intramuros District, Philippines Manila, 1004. The</w:t>
      </w:r>
      <w:r>
        <w:t xml:space="preserve"> </w:t>
      </w:r>
      <w:r>
        <w:t xml:space="preserve">Mason</w:t>
      </w:r>
      <w:r>
        <w:t xml:space="preserve"> </w:t>
      </w:r>
      <w:r>
        <w:t xml:space="preserve">crew shall report to the site at 6:00 AM Philippine Standard Time on each scheduled workday. Delivery vehicles must comply with the traffic regulations of the City of Manila and the Department of Transportation and Communications (DOTC) of the Philippines. All goods must be inspected upon arrival at the Philippines Manila site by the buyer's designated site engineer before acceptance is granted. Any damaged or substandard masonry materials shall be rejected and replaced by</w:t>
      </w:r>
      <w:r>
        <w:t xml:space="preserve"> </w:t>
      </w:r>
      <w:r>
        <w:t xml:space="preserve">Mason</w:t>
      </w:r>
      <w:r>
        <w:t xml:space="preserve"> </w:t>
      </w:r>
      <w:r>
        <w:t xml:space="preserve">Construction Materials &amp; Services, Inc. at no additional cost to the buyer within five (5) business days.</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days from the date of invoice issuance, via bank transfer to the account of Mason Construction Materials &amp; Services, Inc. at BDO Unibank, Philippines Manila branch. A 10% advance payment is required upon signing of this Purchase Order to secure material allocation.</w:t>
      </w:r>
    </w:p>
    <w:p>
      <w:pPr>
        <w:numPr>
          <w:ilvl w:val="0"/>
          <w:numId w:val="1001"/>
        </w:numPr>
        <w:pStyle w:val="Compact"/>
      </w:pPr>
      <w:r>
        <w:rPr>
          <w:bCs/>
          <w:b/>
        </w:rPr>
        <w:t xml:space="preserve">Quality Standards:</w:t>
      </w:r>
      <w:r>
        <w:t xml:space="preserve"> </w:t>
      </w:r>
      <w:r>
        <w:t xml:space="preserve">All masonry materials must conform to the Philippine National Standards (PNS) and the specifications outlined in the project blueprint. Mason labor must hold valid licenses issued by the Philippine Department of Labor and Employment (DOLE).</w:t>
      </w:r>
    </w:p>
    <w:p>
      <w:pPr>
        <w:numPr>
          <w:ilvl w:val="0"/>
          <w:numId w:val="1001"/>
        </w:numPr>
        <w:pStyle w:val="Compact"/>
      </w:pPr>
      <w:r>
        <w:rPr>
          <w:bCs/>
          <w:b/>
        </w:rPr>
        <w:t xml:space="preserve">Warranty:</w:t>
      </w:r>
      <w:r>
        <w:t xml:space="preserve"> </w:t>
      </w:r>
      <w:r>
        <w:t xml:space="preserve">Mason provides a twelve (12) month warranty on all masonry work performed under this Purchase Order. Any structural defects in bricklaying, mortar joints, or plastering discovered within the warranty period shall be remedied at Mason's sole expense.</w:t>
      </w:r>
    </w:p>
    <w:p>
      <w:pPr>
        <w:numPr>
          <w:ilvl w:val="0"/>
          <w:numId w:val="1001"/>
        </w:numPr>
        <w:pStyle w:val="Compact"/>
      </w:pPr>
      <w:r>
        <w:rPr>
          <w:bCs/>
          <w:b/>
        </w:rPr>
        <w:t xml:space="preserve">Compliance:</w:t>
      </w:r>
      <w:r>
        <w:t xml:space="preserve"> </w:t>
      </w:r>
      <w:r>
        <w:t xml:space="preserve">All operations under this Purchase Order shall comply with the labor laws of the Republic of the Philippines, the building codes of the Philippines Manila local government unit, and environmental regulations set by the Department of Environment and Natural Resources (DENR).</w:t>
      </w:r>
    </w:p>
    <w:p>
      <w:pPr>
        <w:numPr>
          <w:ilvl w:val="0"/>
          <w:numId w:val="1001"/>
        </w:numPr>
        <w:pStyle w:val="Compact"/>
      </w:pPr>
      <w:r>
        <w:rPr>
          <w:bCs/>
          <w:b/>
        </w:rPr>
        <w:t xml:space="preserve">Force Majeure:</w:t>
      </w:r>
      <w:r>
        <w:t xml:space="preserve"> </w:t>
      </w:r>
      <w:r>
        <w:t xml:space="preserve">Neither party shall be liable for delays caused by typhoons, earthquakes, government-mandated closures, or other events beyond reasonable control, as commonly experienced in the Philippines Manila region.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the Philippines Manila jurisdiction, in accordance with the rules of the Philippine Construction Arbitration Center.</w:t>
      </w:r>
    </w:p>
    <w:p>
      <w:pPr>
        <w:numPr>
          <w:ilvl w:val="0"/>
          <w:numId w:val="1001"/>
        </w:numPr>
        <w:pStyle w:val="Compact"/>
      </w:pPr>
      <w:r>
        <w:rPr>
          <w:bCs/>
          <w:b/>
        </w:rPr>
        <w:t xml:space="preserve">Validity:</w:t>
      </w:r>
      <w:r>
        <w:t xml:space="preserve"> </w:t>
      </w:r>
      <w:r>
        <w:t xml:space="preserve">This Purchase Order is valid for thirty (30) days from the date of issue. Failure to confirm acceptance within this period shall render this document null and void.</w:t>
      </w:r>
    </w:p>
    <w:p>
      <w:pPr>
        <w:pStyle w:val="FirstParagraph"/>
      </w:pPr>
      <w:r>
        <w:t xml:space="preserve">Authorization and Acceptance</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masonry works and materials to be supplied and performed by</w:t>
      </w:r>
      <w:r>
        <w:t xml:space="preserve"> </w:t>
      </w:r>
      <w:r>
        <w:t xml:space="preserve">Mason</w:t>
      </w:r>
      <w:r>
        <w:t xml:space="preserve"> </w:t>
      </w:r>
      <w:r>
        <w:t xml:space="preserve">Construction Materials &amp; Services, Inc. in the Philippines Manila area.</w:t>
      </w:r>
    </w:p>
    <w:p>
      <w:pPr>
        <w:pStyle w:val="BodyText"/>
      </w:pPr>
      <w:r>
        <w:rPr>
          <w:bCs/>
          <w:b/>
        </w:rPr>
        <w:t xml:space="preserve">For and on behalf of the Buyer:</w:t>
      </w:r>
    </w:p>
    <w:p>
      <w:pPr>
        <w:pStyle w:val="BodyText"/>
      </w:pPr>
      <w:r>
        <w:t xml:space="preserve">Metro Manila Development Corporation</w:t>
      </w:r>
    </w:p>
    <w:p>
      <w:pPr>
        <w:pStyle w:val="BodyText"/>
      </w:pPr>
      <w:r>
        <w:t xml:space="preserve">Engr. Ricardo S. Villanueva</w:t>
      </w:r>
      <w:r>
        <w:br/>
      </w:r>
      <w:r>
        <w:t xml:space="preserve">Project Director</w:t>
      </w:r>
      <w:r>
        <w:br/>
      </w:r>
      <w:r>
        <w:t xml:space="preserve">Date: _______________</w:t>
      </w:r>
    </w:p>
    <w:p>
      <w:pPr>
        <w:pStyle w:val="BodyText"/>
      </w:pPr>
      <w:r>
        <w:rPr>
          <w:bCs/>
          <w:b/>
        </w:rPr>
        <w:t xml:space="preserve">For and on behalf of the Seller:</w:t>
      </w:r>
    </w:p>
    <w:p>
      <w:pPr>
        <w:pStyle w:val="BodyText"/>
      </w:pPr>
      <w:r>
        <w:t xml:space="preserve">Mason Construction Materials &amp; Services, Inc.</w:t>
      </w:r>
    </w:p>
    <w:p>
      <w:pPr>
        <w:pStyle w:val="BodyText"/>
      </w:pPr>
      <w:r>
        <w:t xml:space="preserve">Mr. James T. Mason</w:t>
      </w:r>
      <w:r>
        <w:br/>
      </w:r>
      <w:r>
        <w:t xml:space="preserve">General Manager</w:t>
      </w:r>
      <w:r>
        <w:br/>
      </w:r>
      <w:r>
        <w:t xml:space="preserve">Date: _______________</w:t>
      </w:r>
    </w:p>
    <w:p>
      <w:pPr>
        <w:pStyle w:val="BodyText"/>
      </w:pPr>
      <w:r>
        <w:t xml:space="preserve">This Purchase Order (PO-MAN-2025-04872) was prepared and issued in the Philippines Manila, Republic of the Philippines. © 2025 Metro Manila Development Corporation. All rights reserved. This document is confidential and intended solely for the parties named herein. Unauthorized reproduction or distribution is prohibited under Philippine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Materials &amp; Services, Inc. - Philippines Manila</dc:title>
  <dc:creator/>
  <dc:language>en</dc:language>
  <cp:keywords/>
  <dcterms:created xsi:type="dcterms:W3CDTF">2026-10-10T03:02:18Z</dcterms:created>
  <dcterms:modified xsi:type="dcterms:W3CDTF">2026-10-10T03:02:18Z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