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p>
      <w:pPr>
        <w:pStyle w:val="FirstParagraph"/>
      </w:pPr>
      <w:r>
        <w:t xml:space="preserve">PURCHASE ORDER</w:t>
      </w:r>
    </w:p>
    <w:bookmarkStart w:id="20" w:name="purchase-order-for-mason-services"/>
    <w:p>
      <w:pPr>
        <w:pStyle w:val="Heading1"/>
      </w:pPr>
      <w:r>
        <w:t xml:space="preserve">Purchase Order for Mason Services</w:t>
      </w:r>
    </w:p>
    <w:p>
      <w:pPr>
        <w:pStyle w:val="FirstParagraph"/>
      </w:pPr>
      <w:r>
        <w:t xml:space="preserve">Masonry, Stonework &amp; Bricklaying Contract — Russia Saint Petersburg</w:t>
      </w:r>
    </w:p>
    <w:p>
      <w:pPr>
        <w:pStyle w:val="BodyText"/>
      </w:pPr>
      <w:r>
        <w:t xml:space="preserve">PO No. RSP-2025-04871</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Northern Heritage Restoration LLC</w:t>
      </w:r>
    </w:p>
    <w:p>
      <w:pPr>
        <w:pStyle w:val="BodyText"/>
      </w:pPr>
      <w:r>
        <w:rPr>
          <w:bCs/>
          <w:b/>
        </w:rPr>
        <w:t xml:space="preserve">Address:</w:t>
      </w:r>
      <w:r>
        <w:t xml:space="preserve"> </w:t>
      </w:r>
      <w:r>
        <w:t xml:space="preserve">14 Nevsky Prospekt, Building 3, Saint Petersburg, Russia, 191025</w:t>
      </w:r>
    </w:p>
    <w:p>
      <w:pPr>
        <w:pStyle w:val="BodyText"/>
      </w:pPr>
      <w:r>
        <w:rPr>
          <w:bCs/>
          <w:b/>
        </w:rPr>
        <w:t xml:space="preserve">INN:</w:t>
      </w:r>
      <w:r>
        <w:t xml:space="preserve"> </w:t>
      </w:r>
      <w:r>
        <w:t xml:space="preserve">7811234567</w:t>
      </w:r>
    </w:p>
    <w:p>
      <w:pPr>
        <w:pStyle w:val="BodyText"/>
      </w:pPr>
      <w:r>
        <w:rPr>
          <w:bCs/>
          <w:b/>
        </w:rPr>
        <w:t xml:space="preserve">Authorized Representative:</w:t>
      </w:r>
      <w:r>
        <w:t xml:space="preserve"> </w:t>
      </w:r>
      <w:r>
        <w:t xml:space="preserve">Dmitry A. Volkov, Chief Procurement Officer</w:t>
      </w:r>
    </w:p>
    <w:p>
      <w:pPr>
        <w:pStyle w:val="BodyText"/>
      </w:pPr>
      <w:r>
        <w:rPr>
          <w:bCs/>
          <w:b/>
        </w:rPr>
        <w:t xml:space="preserve">Contact:</w:t>
      </w:r>
      <w:r>
        <w:t xml:space="preserve"> </w:t>
      </w:r>
      <w:r>
        <w:t xml:space="preserve">d.volkov@northernheritage.ru | +7 (812) 555-0142</w:t>
      </w:r>
    </w:p>
    <w:bookmarkEnd w:id="21"/>
    <w:bookmarkStart w:id="22" w:name="supplier-mason-contractor"/>
    <w:p>
      <w:pPr>
        <w:pStyle w:val="Heading3"/>
      </w:pPr>
      <w:r>
        <w:t xml:space="preserve">Supplier (Mason Contractor)</w:t>
      </w:r>
    </w:p>
    <w:p>
      <w:pPr>
        <w:pStyle w:val="FirstParagraph"/>
      </w:pPr>
      <w:r>
        <w:rPr>
          <w:bCs/>
          <w:b/>
        </w:rPr>
        <w:t xml:space="preserve">Company:</w:t>
      </w:r>
      <w:r>
        <w:t xml:space="preserve"> </w:t>
      </w:r>
      <w:r>
        <w:t xml:space="preserve">Petrov &amp; Sons Masonry Works</w:t>
      </w:r>
    </w:p>
    <w:p>
      <w:pPr>
        <w:pStyle w:val="BodyText"/>
      </w:pPr>
      <w:r>
        <w:rPr>
          <w:bCs/>
          <w:b/>
        </w:rPr>
        <w:t xml:space="preserve">Address:</w:t>
      </w:r>
      <w:r>
        <w:t xml:space="preserve"> </w:t>
      </w:r>
      <w:r>
        <w:t xml:space="preserve">88 Vasilyevsky Island, Liteyny Avenue, Saint Petersburg, Russia, 199034</w:t>
      </w:r>
    </w:p>
    <w:p>
      <w:pPr>
        <w:pStyle w:val="BodyText"/>
      </w:pPr>
      <w:r>
        <w:rPr>
          <w:bCs/>
          <w:b/>
        </w:rPr>
        <w:t xml:space="preserve">INN:</w:t>
      </w:r>
      <w:r>
        <w:t xml:space="preserve"> </w:t>
      </w:r>
      <w:r>
        <w:t xml:space="preserve">7806987654</w:t>
      </w:r>
    </w:p>
    <w:p>
      <w:pPr>
        <w:pStyle w:val="BodyText"/>
      </w:pPr>
      <w:r>
        <w:rPr>
          <w:bCs/>
          <w:b/>
        </w:rPr>
        <w:t xml:space="preserve">Authorized Representative:</w:t>
      </w:r>
      <w:r>
        <w:t xml:space="preserve"> </w:t>
      </w:r>
      <w:r>
        <w:t xml:space="preserve">Sergei M. Petrov, Master Mason &amp; Owner</w:t>
      </w:r>
    </w:p>
    <w:p>
      <w:pPr>
        <w:pStyle w:val="BodyText"/>
      </w:pPr>
      <w:r>
        <w:rPr>
          <w:bCs/>
          <w:b/>
        </w:rPr>
        <w:t xml:space="preserve">Contact:</w:t>
      </w:r>
      <w:r>
        <w:t xml:space="preserve"> </w:t>
      </w:r>
      <w:r>
        <w:t xml:space="preserve">s.petrov@petrov-masonry.ru | +7 (812) 555-0387</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12 June 2025</w:t>
      </w:r>
    </w:p>
    <w:p>
      <w:pPr>
        <w:pStyle w:val="BodyText"/>
      </w:pPr>
      <w:r>
        <w:rPr>
          <w:bCs/>
          <w:b/>
        </w:rPr>
        <w:t xml:space="preserve">Required Delivery / Start Date:</w:t>
      </w:r>
      <w:r>
        <w:t xml:space="preserve"> </w:t>
      </w:r>
      <w:r>
        <w:t xml:space="preserve">1 July 2025</w:t>
      </w:r>
    </w:p>
    <w:p>
      <w:pPr>
        <w:pStyle w:val="BodyText"/>
      </w:pPr>
      <w:r>
        <w:rPr>
          <w:bCs/>
          <w:b/>
        </w:rPr>
        <w:t xml:space="preserve">Project Completion Deadline:</w:t>
      </w:r>
      <w:r>
        <w:t xml:space="preserve"> </w:t>
      </w:r>
      <w:r>
        <w:t xml:space="preserve">30 September 2025</w:t>
      </w:r>
    </w:p>
    <w:p>
      <w:pPr>
        <w:pStyle w:val="BodyText"/>
      </w:pPr>
      <w:r>
        <w:rPr>
          <w:bCs/>
          <w:b/>
        </w:rPr>
        <w:t xml:space="preserve">Project Location:</w:t>
      </w:r>
      <w:r>
        <w:t xml:space="preserve"> </w:t>
      </w:r>
      <w:r>
        <w:t xml:space="preserve">22 Fontanka Embankment, Saint Petersburg, Russia, 191011</w:t>
      </w:r>
    </w:p>
    <w:p>
      <w:pPr>
        <w:pStyle w:val="BodyText"/>
      </w:pPr>
      <w:r>
        <w:rPr>
          <w:bCs/>
          <w:b/>
        </w:rPr>
        <w:t xml:space="preserve">Currency:</w:t>
      </w:r>
      <w:r>
        <w:t xml:space="preserve"> </w:t>
      </w:r>
      <w:r>
        <w:t xml:space="preserve">Russian Ruble (RUB)</w:t>
      </w:r>
    </w:p>
    <w:bookmarkEnd w:id="23"/>
    <w:bookmarkStart w:id="24" w:name="payment-terms"/>
    <w:p>
      <w:pPr>
        <w:pStyle w:val="Heading3"/>
      </w:pPr>
      <w:r>
        <w:t xml:space="preserve">Payment Terms</w:t>
      </w:r>
    </w:p>
    <w:p>
      <w:pPr>
        <w:pStyle w:val="FirstParagraph"/>
      </w:pPr>
      <w:r>
        <w:rPr>
          <w:bCs/>
          <w:b/>
        </w:rPr>
        <w:t xml:space="preserve">Payment Method:</w:t>
      </w:r>
      <w:r>
        <w:t xml:space="preserve"> </w:t>
      </w:r>
      <w:r>
        <w:t xml:space="preserve">Bank Transfer (SWIFT/SPFS)</w:t>
      </w:r>
    </w:p>
    <w:p>
      <w:pPr>
        <w:pStyle w:val="BodyText"/>
      </w:pPr>
      <w:r>
        <w:rPr>
          <w:bCs/>
          <w:b/>
        </w:rPr>
        <w:t xml:space="preserve">Bank:</w:t>
      </w:r>
      <w:r>
        <w:t xml:space="preserve"> </w:t>
      </w:r>
      <w:r>
        <w:t xml:space="preserve">Sberbank, Saint Petersburg Branch</w:t>
      </w:r>
    </w:p>
    <w:p>
      <w:pPr>
        <w:pStyle w:val="BodyText"/>
      </w:pPr>
      <w:r>
        <w:rPr>
          <w:bCs/>
          <w:b/>
        </w:rPr>
        <w:t xml:space="preserve">Account No.:</w:t>
      </w:r>
      <w:r>
        <w:t xml:space="preserve"> </w:t>
      </w:r>
      <w:r>
        <w:t xml:space="preserve">40702810 500450012345</w:t>
      </w:r>
    </w:p>
    <w:p>
      <w:pPr>
        <w:pStyle w:val="BodyText"/>
      </w:pPr>
      <w:r>
        <w:rPr>
          <w:bCs/>
          <w:b/>
        </w:rPr>
        <w:t xml:space="preserve">Payment Schedule:</w:t>
      </w:r>
      <w:r>
        <w:t xml:space="preserve"> </w:t>
      </w:r>
      <w:r>
        <w:t xml:space="preserve">30% advance, 40% mid-project, 30% upon final acceptance</w:t>
      </w:r>
    </w:p>
    <w:p>
      <w:pPr>
        <w:pStyle w:val="BodyText"/>
      </w:pPr>
      <w:r>
        <w:rPr>
          <w:bCs/>
          <w:b/>
        </w:rPr>
        <w:t xml:space="preserve">Payment Due:</w:t>
      </w:r>
      <w:r>
        <w:t xml:space="preserve"> </w:t>
      </w:r>
      <w:r>
        <w:t xml:space="preserve">Within 15 business days of invoice</w:t>
      </w:r>
    </w:p>
    <w:bookmarkEnd w:id="24"/>
    <w:bookmarkStart w:id="25" w:name="Xc5cc2ef6e83ae1438c7e9ba14abf2f2a6d0ac99"/>
    <w:p>
      <w:pPr>
        <w:pStyle w:val="Heading2"/>
      </w:pPr>
      <w:r>
        <w:t xml:space="preserve">Scope of Mason Work — Itemized Purchase Order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Mason Services</w:t>
            </w:r>
          </w:p>
        </w:tc>
        <w:tc>
          <w:tcPr/>
          <w:p>
            <w:pPr>
              <w:pStyle w:val="Compact"/>
              <w:jc w:val="left"/>
            </w:pPr>
            <w:r>
              <w:t xml:space="preserve">Quantity / Area</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Restoration of original granite facade masonry on the Fontanka Embankment heritage building, including removal of deteriorated stone, cleaning, and re-laying of 400-year-old granite blocks using traditional lime mortar techniques.</w:t>
            </w:r>
          </w:p>
        </w:tc>
        <w:tc>
          <w:tcPr/>
          <w:p>
            <w:pPr>
              <w:pStyle w:val="Compact"/>
              <w:jc w:val="left"/>
            </w:pPr>
            <w:r>
              <w:t xml:space="preserve">320</w:t>
            </w:r>
          </w:p>
        </w:tc>
        <w:tc>
          <w:tcPr/>
          <w:p>
            <w:pPr>
              <w:pStyle w:val="Compact"/>
              <w:jc w:val="left"/>
            </w:pPr>
            <w:r>
              <w:t xml:space="preserve">m²</w:t>
            </w:r>
          </w:p>
        </w:tc>
        <w:tc>
          <w:tcPr/>
          <w:p>
            <w:pPr>
              <w:pStyle w:val="Compact"/>
              <w:jc w:val="left"/>
            </w:pPr>
            <w:r>
              <w:t xml:space="preserve">18,500</w:t>
            </w:r>
          </w:p>
        </w:tc>
        <w:tc>
          <w:tcPr/>
          <w:p>
            <w:pPr>
              <w:pStyle w:val="Compact"/>
              <w:jc w:val="left"/>
            </w:pPr>
            <w:r>
              <w:t xml:space="preserve">5,920,000</w:t>
            </w:r>
          </w:p>
        </w:tc>
      </w:tr>
      <w:tr>
        <w:tc>
          <w:tcPr/>
          <w:p>
            <w:pPr>
              <w:pStyle w:val="Compact"/>
              <w:jc w:val="left"/>
            </w:pPr>
            <w:r>
              <w:t xml:space="preserve">2</w:t>
            </w:r>
          </w:p>
        </w:tc>
        <w:tc>
          <w:tcPr/>
          <w:p>
            <w:pPr>
              <w:pStyle w:val="Compact"/>
              <w:jc w:val="left"/>
            </w:pPr>
            <w:r>
              <w:t xml:space="preserve">Construction of a new decorative brick masonry archway at the main entrance, utilizing hand-fired red clay bricks sourced from local Saint Petersburg kilns, with carved stone keystones.</w:t>
            </w:r>
          </w:p>
        </w:tc>
        <w:tc>
          <w:tcPr/>
          <w:p>
            <w:pPr>
              <w:pStyle w:val="Compact"/>
              <w:jc w:val="left"/>
            </w:pPr>
            <w:r>
              <w:t xml:space="preserve">1</w:t>
            </w:r>
          </w:p>
        </w:tc>
        <w:tc>
          <w:tcPr/>
          <w:p>
            <w:pPr>
              <w:pStyle w:val="Compact"/>
              <w:jc w:val="left"/>
            </w:pPr>
            <w:r>
              <w:t xml:space="preserve">structure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Installation of natural basalt stone paving in the courtyard, including precise cutting, leveling, and jointing of 600 basalt slabs in a herringbone pattern consistent with the 18th-century Saint Petersburg architectural style.</w:t>
            </w:r>
          </w:p>
        </w:tc>
        <w:tc>
          <w:tcPr/>
          <w:p>
            <w:pPr>
              <w:pStyle w:val="Compact"/>
              <w:jc w:val="left"/>
            </w:pPr>
            <w:r>
              <w:t xml:space="preserve">480</w:t>
            </w:r>
          </w:p>
        </w:tc>
        <w:tc>
          <w:tcPr/>
          <w:p>
            <w:pPr>
              <w:pStyle w:val="Compact"/>
              <w:jc w:val="left"/>
            </w:pPr>
            <w:r>
              <w:t xml:space="preserve">m²</w:t>
            </w:r>
          </w:p>
        </w:tc>
        <w:tc>
          <w:tcPr/>
          <w:p>
            <w:pPr>
              <w:pStyle w:val="Compact"/>
              <w:jc w:val="left"/>
            </w:pPr>
            <w:r>
              <w:t xml:space="preserve">7,200</w:t>
            </w:r>
          </w:p>
        </w:tc>
        <w:tc>
          <w:tcPr/>
          <w:p>
            <w:pPr>
              <w:pStyle w:val="Compact"/>
              <w:jc w:val="left"/>
            </w:pPr>
            <w:r>
              <w:t xml:space="preserve">3,456,000</w:t>
            </w:r>
          </w:p>
        </w:tc>
      </w:tr>
      <w:tr>
        <w:tc>
          <w:tcPr/>
          <w:p>
            <w:pPr>
              <w:pStyle w:val="Compact"/>
              <w:jc w:val="left"/>
            </w:pPr>
            <w:r>
              <w:t xml:space="preserve">4</w:t>
            </w:r>
          </w:p>
        </w:tc>
        <w:tc>
          <w:tcPr/>
          <w:p>
            <w:pPr>
              <w:pStyle w:val="Compact"/>
              <w:jc w:val="left"/>
            </w:pPr>
            <w:r>
              <w:t xml:space="preserve">Repair and reinforcement of interior load-bearing brick masonry walls (approximately 12 meters in height), involving the insertion of stainless steel tie rods, repointing with NHL-5 cement-lime mortar, and application of breathable mineral plaster.</w:t>
            </w:r>
          </w:p>
        </w:tc>
        <w:tc>
          <w:tcPr/>
          <w:p>
            <w:pPr>
              <w:pStyle w:val="Compact"/>
              <w:jc w:val="left"/>
            </w:pPr>
            <w:r>
              <w:t xml:space="preserve">210</w:t>
            </w:r>
          </w:p>
        </w:tc>
        <w:tc>
          <w:tcPr/>
          <w:p>
            <w:pPr>
              <w:pStyle w:val="Compact"/>
              <w:jc w:val="left"/>
            </w:pPr>
            <w:r>
              <w:t xml:space="preserve">m²</w:t>
            </w:r>
          </w:p>
        </w:tc>
        <w:tc>
          <w:tcPr/>
          <w:p>
            <w:pPr>
              <w:pStyle w:val="Compact"/>
              <w:jc w:val="left"/>
            </w:pPr>
            <w:r>
              <w:t xml:space="preserve">9,800</w:t>
            </w:r>
          </w:p>
        </w:tc>
        <w:tc>
          <w:tcPr/>
          <w:p>
            <w:pPr>
              <w:pStyle w:val="Compact"/>
              <w:jc w:val="left"/>
            </w:pPr>
            <w:r>
              <w:t xml:space="preserve">2,058,000</w:t>
            </w:r>
          </w:p>
        </w:tc>
      </w:tr>
      <w:tr>
        <w:tc>
          <w:tcPr/>
          <w:p>
            <w:pPr>
              <w:pStyle w:val="Compact"/>
              <w:jc w:val="left"/>
            </w:pPr>
            <w:r>
              <w:t xml:space="preserve">5</w:t>
            </w:r>
          </w:p>
        </w:tc>
        <w:tc>
          <w:tcPr/>
          <w:p>
            <w:pPr>
              <w:pStyle w:val="Compact"/>
              <w:jc w:val="left"/>
            </w:pPr>
            <w:r>
              <w:t xml:space="preserve">Carving and installation of ornamental stone balustrades (14 sections) for the second-floor balcony, using white Karelian marble, including detailed relief work depicting classical Russian imperial motifs.</w:t>
            </w:r>
          </w:p>
        </w:tc>
        <w:tc>
          <w:tcPr/>
          <w:p>
            <w:pPr>
              <w:pStyle w:val="Compact"/>
              <w:jc w:val="left"/>
            </w:pPr>
            <w:r>
              <w:t xml:space="preserve">14</w:t>
            </w:r>
          </w:p>
        </w:tc>
        <w:tc>
          <w:tcPr/>
          <w:p>
            <w:pPr>
              <w:pStyle w:val="Compact"/>
              <w:jc w:val="left"/>
            </w:pPr>
            <w:r>
              <w:t xml:space="preserve">sections</w:t>
            </w:r>
          </w:p>
        </w:tc>
        <w:tc>
          <w:tcPr/>
          <w:p>
            <w:pPr>
              <w:pStyle w:val="Compact"/>
              <w:jc w:val="left"/>
            </w:pPr>
            <w:r>
              <w:t xml:space="preserve">385,000</w:t>
            </w:r>
          </w:p>
        </w:tc>
        <w:tc>
          <w:tcPr/>
          <w:p>
            <w:pPr>
              <w:pStyle w:val="Compact"/>
              <w:jc w:val="left"/>
            </w:pPr>
            <w:r>
              <w:t xml:space="preserve">5,390,000</w:t>
            </w:r>
          </w:p>
        </w:tc>
      </w:tr>
      <w:tr>
        <w:tc>
          <w:tcPr/>
          <w:p>
            <w:pPr>
              <w:pStyle w:val="Compact"/>
              <w:jc w:val="left"/>
            </w:pPr>
            <w:r>
              <w:t xml:space="preserve">6</w:t>
            </w:r>
          </w:p>
        </w:tc>
        <w:tc>
          <w:tcPr/>
          <w:p>
            <w:pPr>
              <w:pStyle w:val="Compact"/>
              <w:jc w:val="left"/>
            </w:pPr>
            <w:r>
              <w:t xml:space="preserve">Supply and installation of a new stone chimney flue system in the attic, using fire-resistant refractory brick masonry, with a decorative stone cap and weatherproof flashing.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7</w:t>
            </w:r>
          </w:p>
        </w:tc>
        <w:tc>
          <w:tcPr/>
          <w:p>
            <w:pPr>
              <w:pStyle w:val="Compact"/>
              <w:jc w:val="left"/>
            </w:pPr>
            <w:r>
              <w:t xml:space="preserve">General masonry labor supervision, site management, waste removal, and compliance with Saint Petersburg municipal heritage preservation regulations (Roskultura Saint Petersburg Directorate).</w:t>
            </w:r>
          </w:p>
        </w:tc>
        <w:tc>
          <w:tcPr/>
          <w:p>
            <w:pPr>
              <w:pStyle w:val="Compact"/>
              <w:jc w:val="left"/>
            </w:pPr>
            <w:r>
              <w:t xml:space="preserve">120</w:t>
            </w:r>
          </w:p>
        </w:tc>
        <w:tc>
          <w:tcPr/>
          <w:p>
            <w:pPr>
              <w:pStyle w:val="Compact"/>
              <w:jc w:val="left"/>
            </w:pPr>
            <w:r>
              <w:t xml:space="preserve">days</w:t>
            </w:r>
          </w:p>
        </w:tc>
        <w:tc>
          <w:tcPr/>
          <w:p>
            <w:pPr>
              <w:pStyle w:val="Compact"/>
              <w:jc w:val="left"/>
            </w:pPr>
            <w:r>
              <w:t xml:space="preserve">12,000</w:t>
            </w:r>
          </w:p>
        </w:tc>
        <w:tc>
          <w:tcPr/>
          <w:p>
            <w:pPr>
              <w:pStyle w:val="Compact"/>
              <w:jc w:val="left"/>
            </w:pPr>
            <w:r>
              <w:t xml:space="preserve">1,440,000</w:t>
            </w:r>
          </w:p>
        </w:tc>
      </w:tr>
    </w:tbl>
    <w:p>
      <w:pPr>
        <w:pStyle w:val="BodyText"/>
      </w:pPr>
      <w:r>
        <w:t xml:space="preserve">Subtotal:</w:t>
      </w:r>
      <w:r>
        <w:t xml:space="preserve">20,094,000 RUB</w:t>
      </w:r>
    </w:p>
    <w:p>
      <w:pPr>
        <w:pStyle w:val="BodyText"/>
      </w:pPr>
      <w:r>
        <w:t xml:space="preserve">VAT (20%):</w:t>
      </w:r>
      <w:r>
        <w:t xml:space="preserve">4,018,800 RUB</w:t>
      </w:r>
    </w:p>
    <w:p>
      <w:pPr>
        <w:pStyle w:val="BodyText"/>
      </w:pPr>
      <w:r>
        <w:t xml:space="preserve">Grand Total:</w:t>
      </w:r>
      <w:r>
        <w:t xml:space="preserve">24,112,800 RUB</w:t>
      </w:r>
    </w:p>
    <w:bookmarkEnd w:id="25"/>
    <w:bookmarkStart w:id="26" w:name="Xde1b1aa910af0d218dd23eb59edb0f3a99f22fc"/>
    <w:p>
      <w:pPr>
        <w:pStyle w:val="Heading2"/>
      </w:pPr>
      <w:r>
        <w:t xml:space="preserve">Terms and Conditions of this Purchase Order</w:t>
      </w:r>
    </w:p>
    <w:p>
      <w:pPr>
        <w:numPr>
          <w:ilvl w:val="0"/>
          <w:numId w:val="1001"/>
        </w:numPr>
        <w:pStyle w:val="Compact"/>
      </w:pPr>
      <w:r>
        <w:rPr>
          <w:bCs/>
          <w:b/>
        </w:rPr>
        <w:t xml:space="preserve">Scope and Standards:</w:t>
      </w:r>
      <w:r>
        <w:t xml:space="preserve"> </w:t>
      </w:r>
      <w:r>
        <w:t xml:space="preserve">All masonry work shall be executed in strict accordance with the architectural drawings approved by the Saint Petersburg Committee for State Preservation of Cultural Heritage (KGIOP). The Mason contractor shall employ only certified master masons with a minimum of ten years of experience in historic stone and brick restoration work.</w:t>
      </w:r>
    </w:p>
    <w:p>
      <w:pPr>
        <w:numPr>
          <w:ilvl w:val="0"/>
          <w:numId w:val="1001"/>
        </w:numPr>
        <w:pStyle w:val="Compact"/>
      </w:pPr>
      <w:r>
        <w:rPr>
          <w:bCs/>
          <w:b/>
        </w:rPr>
        <w:t xml:space="preserve">Materials:</w:t>
      </w:r>
      <w:r>
        <w:t xml:space="preserve"> </w:t>
      </w:r>
      <w:r>
        <w:t xml:space="preserve">All stone, brick, mortar, and ancillary materials must be sourced from approved suppliers within the Saint Petersburg and Leningrad Oblast region. The Mason shall provide material certificates and origin documentation for every batch of granite, basalt, marble, and clay brick delivered to the site.</w:t>
      </w:r>
    </w:p>
    <w:p>
      <w:pPr>
        <w:numPr>
          <w:ilvl w:val="0"/>
          <w:numId w:val="1001"/>
        </w:numPr>
        <w:pStyle w:val="Compact"/>
      </w:pPr>
      <w:r>
        <w:rPr>
          <w:bCs/>
          <w:b/>
        </w:rPr>
        <w:t xml:space="preserve">Timeline and Milestones:</w:t>
      </w:r>
      <w:r>
        <w:t xml:space="preserve"> </w:t>
      </w:r>
      <w:r>
        <w:t xml:space="preserve">The Mason shall adhere to the project schedule outlined in this Purchase Order. Delays exceeding five (5) business days without written justification from the Buyer shall incur a penalty of 0.5% of the total Purchase Order value per day of delay, capped at 10% of the total contract value.</w:t>
      </w:r>
    </w:p>
    <w:p>
      <w:pPr>
        <w:numPr>
          <w:ilvl w:val="0"/>
          <w:numId w:val="1001"/>
        </w:numPr>
        <w:pStyle w:val="Compact"/>
      </w:pPr>
      <w:r>
        <w:rPr>
          <w:bCs/>
          <w:b/>
        </w:rPr>
        <w:t xml:space="preserve">Quality Assurance:</w:t>
      </w:r>
      <w:r>
        <w:t xml:space="preserve"> </w:t>
      </w:r>
      <w:r>
        <w:t xml:space="preserve">The Buyer reserves the right to conduct weekly inspections of all masonry work. Any work found to be non-compliant with the approved specifications must be rectified by the Mason at no additional cost within three (3) business days of notification.</w:t>
      </w:r>
    </w:p>
    <w:p>
      <w:pPr>
        <w:numPr>
          <w:ilvl w:val="0"/>
          <w:numId w:val="1001"/>
        </w:numPr>
        <w:pStyle w:val="Compact"/>
      </w:pPr>
      <w:r>
        <w:rPr>
          <w:bCs/>
          <w:b/>
        </w:rPr>
        <w:t xml:space="preserve">Insurance and Liability:</w:t>
      </w:r>
      <w:r>
        <w:t xml:space="preserve"> </w:t>
      </w:r>
      <w:r>
        <w:t xml:space="preserve">The Mason shall maintain comprehensive liability insurance and workers' compensation coverage in accordance with Russian Federation labor law for the entire duration of the project. The Mason assumes full responsibility for any damage to the heritage structure or adjacent properties caused by masonry operations.</w:t>
      </w:r>
    </w:p>
    <w:p>
      <w:pPr>
        <w:numPr>
          <w:ilvl w:val="0"/>
          <w:numId w:val="1001"/>
        </w:numPr>
        <w:pStyle w:val="Compact"/>
      </w:pPr>
      <w:r>
        <w:rPr>
          <w:bCs/>
          <w:b/>
        </w:rPr>
        <w:t xml:space="preserve">Permits and Compliance:</w:t>
      </w:r>
      <w:r>
        <w:t xml:space="preserve"> </w:t>
      </w:r>
      <w:r>
        <w:t xml:space="preserve">The Mason is responsible for obtaining all necessary municipal permits, environmental clearances, and heritage work authorizations from the relevant Saint Petersburg city authorities prior to commencing any masonry activity on site.</w:t>
      </w:r>
    </w:p>
    <w:p>
      <w:pPr>
        <w:numPr>
          <w:ilvl w:val="0"/>
          <w:numId w:val="1001"/>
        </w:numPr>
        <w:pStyle w:val="Compact"/>
      </w:pPr>
      <w:r>
        <w:rPr>
          <w:bCs/>
          <w:b/>
        </w:rPr>
        <w:t xml:space="preserve">Warranty:</w:t>
      </w:r>
      <w:r>
        <w:t xml:space="preserve"> </w:t>
      </w:r>
      <w:r>
        <w:t xml:space="preserve">The Mason provides a warranty of five (5) years on all structural masonry work and three (3) years on decorative and ornamental stone work, covering defects in materials and workmanship under normal use conditions in the Saint Petersburg climate.</w:t>
      </w:r>
    </w:p>
    <w:p>
      <w:pPr>
        <w:numPr>
          <w:ilvl w:val="0"/>
          <w:numId w:val="1001"/>
        </w:numPr>
        <w:pStyle w:val="Compact"/>
      </w:pPr>
      <w:r>
        <w:rPr>
          <w:bCs/>
          <w:b/>
        </w:rPr>
        <w:t xml:space="preserve">Governing Law:</w:t>
      </w:r>
      <w:r>
        <w:t xml:space="preserve"> </w:t>
      </w:r>
      <w:r>
        <w:t xml:space="preserve">This Purchase Order shall be governed by and interpreted in accordance with the Civil Code of the Russian Federation. Any disputes arising from this Purchase Order shall be resolved through arbitration at the Arbitration Court of Saint Petersburg and Leningrad Oblast.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severe winter weather conditions typical of Saint Petersburg, government-mandated work stoppages, or supply chain disruptions.</w:t>
      </w:r>
    </w:p>
    <w:p>
      <w:pPr>
        <w:numPr>
          <w:ilvl w:val="0"/>
          <w:numId w:val="1001"/>
        </w:numPr>
        <w:pStyle w:val="Compact"/>
      </w:pPr>
      <w:r>
        <w:rPr>
          <w:bCs/>
          <w:b/>
        </w:rPr>
        <w:t xml:space="preserve">Confidentiality:</w:t>
      </w:r>
      <w:r>
        <w:t xml:space="preserve"> </w:t>
      </w:r>
      <w:r>
        <w:t xml:space="preserve">Both parties agree to maintain confidentiality regarding the terms of this Purchase Order, project specifications, and any proprietary masonry techniques disclosed during the course of the engagement.</w:t>
      </w:r>
    </w:p>
    <w:bookmarkEnd w:id="26"/>
    <w:p>
      <w:pPr>
        <w:pStyle w:val="FirstParagraph"/>
      </w:pPr>
      <w:r>
        <w:rPr>
          <w:bCs/>
          <w:b/>
        </w:rPr>
        <w:t xml:space="preserve">For the Buyer:</w:t>
      </w:r>
    </w:p>
    <w:p>
      <w:pPr>
        <w:pStyle w:val="BodyText"/>
      </w:pPr>
      <w:r>
        <w:t xml:space="preserve">Northern Heritage Restoration LLC</w:t>
      </w:r>
    </w:p>
    <w:p>
      <w:pPr>
        <w:pStyle w:val="BodyText"/>
      </w:pPr>
      <w:r>
        <w:t xml:space="preserve">Dmitry A. Volkov</w:t>
      </w:r>
    </w:p>
    <w:p>
      <w:pPr>
        <w:pStyle w:val="BodyText"/>
      </w:pPr>
      <w:r>
        <w:t xml:space="preserve">Chief Procurement Officer</w:t>
      </w:r>
    </w:p>
    <w:p>
      <w:pPr>
        <w:pStyle w:val="BodyText"/>
      </w:pPr>
      <w:r>
        <w:t xml:space="preserve">Date: _______________</w:t>
      </w:r>
    </w:p>
    <w:p>
      <w:pPr>
        <w:pStyle w:val="BodyText"/>
      </w:pPr>
      <w:r>
        <w:rPr>
          <w:bCs/>
          <w:b/>
        </w:rPr>
        <w:t xml:space="preserve">For the Mason Contractor:</w:t>
      </w:r>
    </w:p>
    <w:p>
      <w:pPr>
        <w:pStyle w:val="BodyText"/>
      </w:pPr>
      <w:r>
        <w:t xml:space="preserve">Petrov &amp; Sons Masonry Works</w:t>
      </w:r>
    </w:p>
    <w:p>
      <w:pPr>
        <w:pStyle w:val="BodyText"/>
      </w:pPr>
      <w:r>
        <w:t xml:space="preserve">Sergei M. Petrov</w:t>
      </w:r>
    </w:p>
    <w:p>
      <w:pPr>
        <w:pStyle w:val="BodyText"/>
      </w:pPr>
      <w:r>
        <w:t xml:space="preserve">Master Mason &amp; Owner</w:t>
      </w:r>
    </w:p>
    <w:p>
      <w:pPr>
        <w:pStyle w:val="BodyText"/>
      </w:pPr>
      <w:r>
        <w:t xml:space="preserve">Date: _______________</w:t>
      </w:r>
    </w:p>
    <w:p>
      <w:pPr>
        <w:pStyle w:val="BodyText"/>
      </w:pPr>
      <w:r>
        <w:t xml:space="preserve">This Purchase Order (PO No. RSP-2025-04871) is issued for masonry and stonework services to be performed in Russia Saint Petersburg. It constitutes a binding agreement upon signature by both parties. All references to "Mason" herein denote the qualified masonry contractor and their team of skilled stone and brick workers. This document is valid for a period of ninety (90) days from the date of issue.</w:t>
      </w:r>
    </w:p>
    <w:p>
      <w:pPr>
        <w:pStyle w:val="BodyText"/>
      </w:pPr>
      <w:r>
        <w:t xml:space="preserve">Document generated: 12 June 2025 | Saint Petersburg, Russia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Services - Russia Saint Petersburg</dc:title>
  <dc:creator/>
  <dc:language>en</dc:language>
  <cp:keywords/>
  <dcterms:created xsi:type="dcterms:W3CDTF">2026-10-10T07:04:34Z</dcterms:created>
  <dcterms:modified xsi:type="dcterms:W3CDTF">2026-10-10T07:04:34Z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