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Materials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Mason Construction Materials</w:t>
      </w:r>
    </w:p>
    <w:p>
      <w:pPr>
        <w:pStyle w:val="BodyText"/>
      </w:pPr>
      <w:r>
        <w:t xml:space="preserve">Destination: Senegal Dakar, West Africa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PO-SEN-DKR-2025-04782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 Ordering Party:</w:t>
            </w:r>
          </w:p>
        </w:tc>
        <w:tc>
          <w:tcPr/>
          <w:p>
            <w:pPr>
              <w:pStyle w:val="Compact"/>
              <w:jc w:val="left"/>
            </w:pPr>
            <w:r>
              <w:t xml:space="preserve">Dakar Infrastructure Development Corporation (DIDC)</w:t>
            </w:r>
          </w:p>
        </w:tc>
      </w:tr>
      <w:tr>
        <w:tc>
          <w:tcPr/>
          <w:p>
            <w:pPr>
              <w:pStyle w:val="Compact"/>
              <w:jc w:val="left"/>
            </w:pPr>
            <w:r>
              <w:t xml:space="preserve">Buyer Address:</w:t>
            </w:r>
          </w:p>
        </w:tc>
        <w:tc>
          <w:tcPr/>
          <w:p>
            <w:pPr>
              <w:pStyle w:val="Compact"/>
              <w:jc w:val="left"/>
            </w:pPr>
            <w:r>
              <w:t xml:space="preserve">12 Boulevard de la République, Plateau, Senegal Dakar, 10000, Republic of Senegal</w:t>
            </w:r>
          </w:p>
        </w:tc>
      </w:tr>
      <w:tr>
        <w:tc>
          <w:tcPr/>
          <w:p>
            <w:pPr>
              <w:pStyle w:val="Compact"/>
              <w:jc w:val="left"/>
            </w:pPr>
            <w:r>
              <w:t xml:space="preserve">Supplier / Vendor:</w:t>
            </w:r>
          </w:p>
        </w:tc>
        <w:tc>
          <w:tcPr/>
          <w:p>
            <w:pPr>
              <w:pStyle w:val="Compact"/>
              <w:jc w:val="left"/>
            </w:pPr>
            <w:r>
              <w:t xml:space="preserve">Atlantic Mason Products International Ltd.</w:t>
            </w:r>
          </w:p>
        </w:tc>
      </w:tr>
      <w:tr>
        <w:tc>
          <w:tcPr/>
          <w:p>
            <w:pPr>
              <w:pStyle w:val="Compact"/>
              <w:jc w:val="left"/>
            </w:pPr>
            <w:r>
              <w:t xml:space="preserve">Supplier Address:</w:t>
            </w:r>
          </w:p>
        </w:tc>
        <w:tc>
          <w:tcPr/>
          <w:p>
            <w:pPr>
              <w:pStyle w:val="Compact"/>
              <w:jc w:val="left"/>
            </w:pPr>
            <w:r>
              <w:t xml:space="preserve">450 Industrial Zone, Casablanca, Morocco</w:t>
            </w:r>
          </w:p>
        </w:tc>
      </w:tr>
      <w:tr>
        <w:tc>
          <w:tcPr/>
          <w:p>
            <w:pPr>
              <w:pStyle w:val="Compact"/>
              <w:jc w:val="left"/>
            </w:pPr>
            <w:r>
              <w:t xml:space="preserve">Project Reference:</w:t>
            </w:r>
          </w:p>
        </w:tc>
        <w:tc>
          <w:tcPr/>
          <w:p>
            <w:pPr>
              <w:pStyle w:val="Compact"/>
              <w:jc w:val="left"/>
            </w:pPr>
            <w:r>
              <w:t xml:space="preserve">Mason Block Housing Development – Phase III, Senegal Dakar</w:t>
            </w:r>
          </w:p>
        </w:tc>
      </w:tr>
      <w:tr>
        <w:tc>
          <w:tcPr/>
          <w:p>
            <w:pPr>
              <w:pStyle w:val="Compact"/>
              <w:jc w:val="left"/>
            </w:pPr>
            <w:r>
              <w:t xml:space="preserve">Delivery Location:</w:t>
            </w:r>
          </w:p>
        </w:tc>
        <w:tc>
          <w:tcPr/>
          <w:p>
            <w:pPr>
              <w:pStyle w:val="Compact"/>
              <w:jc w:val="left"/>
            </w:pPr>
            <w:r>
              <w:t xml:space="preserve">Construction Site, Almadies District, Senegal Dakar, Republic of Senegal</w:t>
            </w:r>
          </w:p>
        </w:tc>
      </w:tr>
      <w:tr>
        <w:tc>
          <w:tcPr/>
          <w:p>
            <w:pPr>
              <w:pStyle w:val="Compact"/>
              <w:jc w:val="left"/>
            </w:pPr>
            <w:r>
              <w:t xml:space="preserve">Payment Terms:</w:t>
            </w:r>
          </w:p>
        </w:tc>
        <w:tc>
          <w:tcPr/>
          <w:p>
            <w:pPr>
              <w:pStyle w:val="Compact"/>
              <w:jc w:val="left"/>
            </w:pPr>
            <w:r>
              <w:t xml:space="preserve">30% advance upon confirmation; 70% upon delivery and inspection at Senegal Dakar site</w:t>
            </w:r>
          </w:p>
        </w:tc>
      </w:tr>
      <w:tr>
        <w:tc>
          <w:tcPr/>
          <w:p>
            <w:pPr>
              <w:pStyle w:val="Compact"/>
              <w:jc w:val="left"/>
            </w:pPr>
            <w:r>
              <w:t xml:space="preserve">Currency:</w:t>
            </w:r>
          </w:p>
        </w:tc>
        <w:tc>
          <w:tcPr/>
          <w:p>
            <w:pPr>
              <w:pStyle w:val="Compact"/>
              <w:jc w:val="left"/>
            </w:pPr>
            <w:r>
              <w:t xml:space="preserve">West African CFA Franc (XOF) / US Dollar (USD)</w:t>
            </w:r>
          </w:p>
        </w:tc>
      </w:tr>
      <w:tr>
        <w:tc>
          <w:tcPr/>
          <w:p>
            <w:pPr>
              <w:pStyle w:val="Compact"/>
              <w:jc w:val="left"/>
            </w:pPr>
            <w:r>
              <w:t xml:space="preserve">Validity of This Purchase Order:</w:t>
            </w:r>
          </w:p>
        </w:tc>
        <w:tc>
          <w:tcPr/>
          <w:p>
            <w:pPr>
              <w:pStyle w:val="Compact"/>
              <w:jc w:val="left"/>
            </w:pPr>
            <w:r>
              <w:t xml:space="preserve">60 days from date of issue</w:t>
            </w:r>
          </w:p>
        </w:tc>
      </w:tr>
    </w:tbl>
    <w:bookmarkStart w:id="21" w:name="description-of-purchase-order-and-scope"/>
    <w:p>
      <w:pPr>
        <w:pStyle w:val="Heading2"/>
      </w:pPr>
      <w:r>
        <w:t xml:space="preserve">1. Description of Purchase Order and Scope</w:t>
      </w:r>
    </w:p>
    <w:p>
      <w:pPr>
        <w:pStyle w:val="FirstParagraph"/>
      </w:pPr>
      <w:r>
        <w:t xml:space="preserve">This</w:t>
      </w:r>
      <w:r>
        <w:t xml:space="preserve"> </w:t>
      </w:r>
      <w:r>
        <w:t xml:space="preserve">Purchase Order</w:t>
      </w:r>
      <w:r>
        <w:t xml:space="preserve"> </w:t>
      </w:r>
      <w:r>
        <w:t xml:space="preserve">is issued by Dakar Infrastructure Development Corporation (hereinafter referred to as "the Buyer") to Atlantic Mason Products International Ltd. (hereinafter referred to as "the Supplier") for the procurement, manufacturing, packaging, and delivery of mason construction materials to be used in the Mason Block Housing Development Project, Phase III, located in the Almadies District of</w:t>
      </w:r>
      <w:r>
        <w:t xml:space="preserve"> </w:t>
      </w:r>
      <w:r>
        <w:t xml:space="preserve">Senegal Dakar</w:t>
      </w:r>
      <w:r>
        <w:t xml:space="preserve">, Republic of Senegal. This Purchase Order governs all terms, conditions, specifications, and obligations related to the supply of mason units, mason mortar, and associated mason construction accessories required for the construction of 240 residential mason block units in Senegal Dakar.</w:t>
      </w:r>
    </w:p>
    <w:p>
      <w:pPr>
        <w:pStyle w:val="BodyText"/>
      </w:pPr>
      <w:r>
        <w:t xml:space="preserve">The Buyer requires the Supplier to deliver all mason materials in full compliance with the technical specifications outlined in Annex A of this Purchase Order, as well as in accordance with the building codes and mason construction standards recognized by the Senegalese Ministry of Urban Planning and Housing. All mason products must be suitable for the tropical coastal climate conditions prevalent in Senegal Dakar, including high humidity, salt air exposure, and intense solar radiation.</w:t>
      </w:r>
    </w:p>
    <w:bookmarkEnd w:id="21"/>
    <w:bookmarkStart w:id="22" w:name="itemized-list-of-mason-materials"/>
    <w:p>
      <w:pPr>
        <w:pStyle w:val="Heading2"/>
      </w:pPr>
      <w:r>
        <w:t xml:space="preserve">2. Itemized List of Mason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Standard Mason Concrete Blocks (20 cm x 20 cm x 40 cm)</w:t>
            </w:r>
          </w:p>
        </w:tc>
        <w:tc>
          <w:tcPr/>
          <w:p>
            <w:pPr>
              <w:pStyle w:val="Compact"/>
              <w:jc w:val="left"/>
            </w:pPr>
            <w:r>
              <w:t xml:space="preserve">Class A, compressive strength ≥ 5 MPa, water absorption ≤ 12%</w:t>
            </w:r>
          </w:p>
        </w:tc>
        <w:tc>
          <w:tcPr/>
          <w:p>
            <w:pPr>
              <w:pStyle w:val="Compact"/>
              <w:jc w:val="left"/>
            </w:pPr>
            <w:r>
              <w:t xml:space="preserve">185,000</w:t>
            </w:r>
          </w:p>
        </w:tc>
        <w:tc>
          <w:tcPr/>
          <w:p>
            <w:pPr>
              <w:pStyle w:val="Compact"/>
              <w:jc w:val="left"/>
            </w:pPr>
            <w:r>
              <w:t xml:space="preserve">pieces</w:t>
            </w:r>
          </w:p>
        </w:tc>
        <w:tc>
          <w:tcPr/>
          <w:p>
            <w:pPr>
              <w:pStyle w:val="Compact"/>
              <w:jc w:val="left"/>
            </w:pPr>
            <w:r>
              <w:t xml:space="preserve">1.85</w:t>
            </w:r>
          </w:p>
        </w:tc>
        <w:tc>
          <w:tcPr/>
          <w:p>
            <w:pPr>
              <w:pStyle w:val="Compact"/>
              <w:jc w:val="left"/>
            </w:pPr>
            <w:r>
              <w:t xml:space="preserve">342,250.00</w:t>
            </w:r>
          </w:p>
        </w:tc>
      </w:tr>
      <w:tr>
        <w:tc>
          <w:tcPr/>
          <w:p>
            <w:pPr>
              <w:pStyle w:val="Compact"/>
              <w:jc w:val="left"/>
            </w:pPr>
            <w:r>
              <w:t xml:space="preserve">02</w:t>
            </w:r>
          </w:p>
        </w:tc>
        <w:tc>
          <w:tcPr/>
          <w:p>
            <w:pPr>
              <w:pStyle w:val="Compact"/>
              <w:jc w:val="left"/>
            </w:pPr>
            <w:r>
              <w:t xml:space="preserve">Half-Size Mason Blocks (10 cm x 20 cm x 40 cm)</w:t>
            </w:r>
          </w:p>
        </w:tc>
        <w:tc>
          <w:tcPr/>
          <w:p>
            <w:pPr>
              <w:pStyle w:val="Compact"/>
              <w:jc w:val="left"/>
            </w:pPr>
            <w:r>
              <w:t xml:space="preserve">Class A, compressive strength ≥ 5 MPa</w:t>
            </w:r>
          </w:p>
        </w:tc>
        <w:tc>
          <w:tcPr/>
          <w:p>
            <w:pPr>
              <w:pStyle w:val="Compact"/>
              <w:jc w:val="left"/>
            </w:pPr>
            <w:r>
              <w:t xml:space="preserve">42,000</w:t>
            </w:r>
          </w:p>
        </w:tc>
        <w:tc>
          <w:tcPr/>
          <w:p>
            <w:pPr>
              <w:pStyle w:val="Compact"/>
              <w:jc w:val="left"/>
            </w:pPr>
            <w:r>
              <w:t xml:space="preserve">pieces</w:t>
            </w:r>
          </w:p>
        </w:tc>
        <w:tc>
          <w:tcPr/>
          <w:p>
            <w:pPr>
              <w:pStyle w:val="Compact"/>
              <w:jc w:val="left"/>
            </w:pPr>
            <w:r>
              <w:t xml:space="preserve">1.10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Mason Lintels (20 cm x 20 cm x 200 cm)</w:t>
            </w:r>
          </w:p>
        </w:tc>
        <w:tc>
          <w:tcPr/>
          <w:p>
            <w:pPr>
              <w:pStyle w:val="Compact"/>
              <w:jc w:val="left"/>
            </w:pPr>
            <w:r>
              <w:t xml:space="preserve">Reinforced, 4x12mm steel bars, Class B</w:t>
            </w:r>
          </w:p>
        </w:tc>
        <w:tc>
          <w:tcPr/>
          <w:p>
            <w:pPr>
              <w:pStyle w:val="Compact"/>
              <w:jc w:val="left"/>
            </w:pPr>
            <w:r>
              <w:t xml:space="preserve">3,200</w:t>
            </w:r>
          </w:p>
        </w:tc>
        <w:tc>
          <w:tcPr/>
          <w:p>
            <w:pPr>
              <w:pStyle w:val="Compact"/>
              <w:jc w:val="left"/>
            </w:pPr>
            <w:r>
              <w:t xml:space="preserve">pieces</w:t>
            </w:r>
          </w:p>
        </w:tc>
        <w:tc>
          <w:tcPr/>
          <w:p>
            <w:pPr>
              <w:pStyle w:val="Compact"/>
              <w:jc w:val="left"/>
            </w:pPr>
            <w:r>
              <w:t xml:space="preserve">18.50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Mason Ring Beams (20 cm x 20 cm x 400 cm)</w:t>
            </w:r>
          </w:p>
        </w:tc>
        <w:tc>
          <w:tcPr/>
          <w:p>
            <w:pPr>
              <w:pStyle w:val="Compact"/>
              <w:jc w:val="left"/>
            </w:pPr>
            <w:r>
              <w:t xml:space="preserve">Reinforced, 6x14mm steel bars, Class B</w:t>
            </w:r>
          </w:p>
        </w:tc>
        <w:tc>
          <w:tcPr/>
          <w:p>
            <w:pPr>
              <w:pStyle w:val="Compact"/>
              <w:jc w:val="left"/>
            </w:pPr>
            <w:r>
              <w:t xml:space="preserve">1,800</w:t>
            </w:r>
          </w:p>
        </w:tc>
        <w:tc>
          <w:tcPr/>
          <w:p>
            <w:pPr>
              <w:pStyle w:val="Compact"/>
              <w:jc w:val="left"/>
            </w:pPr>
            <w:r>
              <w:t xml:space="preserve">pieces</w:t>
            </w:r>
          </w:p>
        </w:tc>
        <w:tc>
          <w:tcPr/>
          <w:p>
            <w:pPr>
              <w:pStyle w:val="Compact"/>
              <w:jc w:val="left"/>
            </w:pPr>
            <w:r>
              <w:t xml:space="preserve">32.00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Pre-Mixed Mason Mortar (Type M, 40 kg bags)</w:t>
            </w:r>
          </w:p>
        </w:tc>
        <w:tc>
          <w:tcPr/>
          <w:p>
            <w:pPr>
              <w:pStyle w:val="Compact"/>
              <w:jc w:val="left"/>
            </w:pPr>
            <w:r>
              <w:t xml:space="preserve">Cement-sand aggregate blend, 28-day strength ≥ 10 MPa</w:t>
            </w:r>
          </w:p>
        </w:tc>
        <w:tc>
          <w:tcPr/>
          <w:p>
            <w:pPr>
              <w:pStyle w:val="Compact"/>
              <w:jc w:val="left"/>
            </w:pPr>
            <w:r>
              <w:t xml:space="preserve">12,500</w:t>
            </w:r>
          </w:p>
        </w:tc>
        <w:tc>
          <w:tcPr/>
          <w:p>
            <w:pPr>
              <w:pStyle w:val="Compact"/>
              <w:jc w:val="left"/>
            </w:pPr>
            <w:r>
              <w:t xml:space="preserve">bags</w:t>
            </w:r>
          </w:p>
        </w:tc>
        <w:tc>
          <w:tcPr/>
          <w:p>
            <w:pPr>
              <w:pStyle w:val="Compact"/>
              <w:jc w:val="left"/>
            </w:pPr>
            <w:r>
              <w:t xml:space="preserve">4.25</w:t>
            </w:r>
          </w:p>
        </w:tc>
        <w:tc>
          <w:tcPr/>
          <w:p>
            <w:pPr>
              <w:pStyle w:val="Compact"/>
              <w:jc w:val="left"/>
            </w:pPr>
            <w:r>
              <w:t xml:space="preserve">53,125.00</w:t>
            </w:r>
          </w:p>
        </w:tc>
      </w:tr>
      <w:tr>
        <w:tc>
          <w:tcPr/>
          <w:p>
            <w:pPr>
              <w:pStyle w:val="Compact"/>
              <w:jc w:val="left"/>
            </w:pPr>
            <w:r>
              <w:t xml:space="preserve">06</w:t>
            </w:r>
          </w:p>
        </w:tc>
        <w:tc>
          <w:tcPr/>
          <w:p>
            <w:pPr>
              <w:pStyle w:val="Compact"/>
              <w:jc w:val="left"/>
            </w:pPr>
            <w:r>
              <w:t xml:space="preserve">Mason Wall Ties (Galvanized Steel, 150 mm)</w:t>
            </w:r>
          </w:p>
        </w:tc>
        <w:tc>
          <w:tcPr/>
          <w:p>
            <w:pPr>
              <w:pStyle w:val="Compact"/>
              <w:jc w:val="left"/>
            </w:pPr>
            <w:r>
              <w:t xml:space="preserve">Hot-dip galvanized, 3 mm diameter</w:t>
            </w:r>
          </w:p>
        </w:tc>
        <w:tc>
          <w:tcPr/>
          <w:p>
            <w:pPr>
              <w:pStyle w:val="Compact"/>
              <w:jc w:val="left"/>
            </w:pPr>
            <w:r>
              <w:t xml:space="preserve">95,000</w:t>
            </w:r>
          </w:p>
        </w:tc>
        <w:tc>
          <w:tcPr/>
          <w:p>
            <w:pPr>
              <w:pStyle w:val="Compact"/>
              <w:jc w:val="left"/>
            </w:pPr>
            <w:r>
              <w:t xml:space="preserve">pieces</w:t>
            </w:r>
          </w:p>
        </w:tc>
        <w:tc>
          <w:tcPr/>
          <w:p>
            <w:pPr>
              <w:pStyle w:val="Compact"/>
              <w:jc w:val="left"/>
            </w:pPr>
            <w:r>
              <w:t xml:space="preserve">0.18</w:t>
            </w:r>
          </w:p>
        </w:tc>
        <w:tc>
          <w:tcPr/>
          <w:p>
            <w:pPr>
              <w:pStyle w:val="Compact"/>
              <w:jc w:val="left"/>
            </w:pPr>
            <w:r>
              <w:t xml:space="preserve">17,100.00</w:t>
            </w:r>
          </w:p>
        </w:tc>
      </w:tr>
      <w:tr>
        <w:tc>
          <w:tcPr/>
          <w:p>
            <w:pPr>
              <w:pStyle w:val="Compact"/>
              <w:jc w:val="left"/>
            </w:pPr>
            <w:r>
              <w:t xml:space="preserve">07</w:t>
            </w:r>
          </w:p>
        </w:tc>
        <w:tc>
          <w:tcPr/>
          <w:p>
            <w:pPr>
              <w:pStyle w:val="Compact"/>
              <w:jc w:val="left"/>
            </w:pPr>
            <w:r>
              <w:t xml:space="preserve">Mason Corner Blocks (20 cm x 20 cm x 40 cm)</w:t>
            </w:r>
          </w:p>
        </w:tc>
        <w:tc>
          <w:tcPr/>
          <w:p>
            <w:pPr>
              <w:pStyle w:val="Compact"/>
              <w:jc w:val="left"/>
            </w:pPr>
            <w:r>
              <w:t xml:space="preserve">Class A, reinforced with 2x8mm bars</w:t>
            </w:r>
          </w:p>
        </w:tc>
        <w:tc>
          <w:tcPr/>
          <w:p>
            <w:pPr>
              <w:pStyle w:val="Compact"/>
              <w:jc w:val="left"/>
            </w:pPr>
            <w:r>
              <w:t xml:space="preserve">8,500</w:t>
            </w:r>
          </w:p>
        </w:tc>
        <w:tc>
          <w:tcPr/>
          <w:p>
            <w:pPr>
              <w:pStyle w:val="Compact"/>
              <w:jc w:val="left"/>
            </w:pPr>
            <w:r>
              <w:t xml:space="preserve">pieces</w:t>
            </w:r>
          </w:p>
        </w:tc>
        <w:tc>
          <w:tcPr/>
          <w:p>
            <w:pPr>
              <w:pStyle w:val="Compact"/>
              <w:jc w:val="left"/>
            </w:pPr>
            <w:r>
              <w:t xml:space="preserve">2.40</w:t>
            </w:r>
          </w:p>
        </w:tc>
        <w:tc>
          <w:tcPr/>
          <w:p>
            <w:pPr>
              <w:pStyle w:val="Compact"/>
              <w:jc w:val="left"/>
            </w:pPr>
            <w:r>
              <w:t xml:space="preserve">20,400.00</w:t>
            </w:r>
          </w:p>
        </w:tc>
      </w:tr>
      <w:tr>
        <w:tc>
          <w:tcPr/>
          <w:p>
            <w:pPr>
              <w:pStyle w:val="Compact"/>
              <w:jc w:val="left"/>
            </w:pPr>
            <w:r>
              <w:t xml:space="preserve">08</w:t>
            </w:r>
          </w:p>
        </w:tc>
        <w:tc>
          <w:tcPr/>
          <w:p>
            <w:pPr>
              <w:pStyle w:val="Compact"/>
              <w:jc w:val="left"/>
            </w:pPr>
            <w:r>
              <w:t xml:space="preserve">Mason Stair Steps (20 cm x 30 cm x 30 cm)</w:t>
            </w:r>
          </w:p>
        </w:tc>
        <w:tc>
          <w:tcPr/>
          <w:p>
            <w:pPr>
              <w:pStyle w:val="Compact"/>
              <w:jc w:val="left"/>
            </w:pPr>
            <w:r>
              <w:t xml:space="preserve">Class B, anti-slip surface finish</w:t>
            </w:r>
          </w:p>
        </w:tc>
        <w:tc>
          <w:tcPr/>
          <w:p>
            <w:pPr>
              <w:pStyle w:val="Compact"/>
              <w:jc w:val="left"/>
            </w:pPr>
            <w:r>
              <w:t xml:space="preserve">4,800</w:t>
            </w:r>
          </w:p>
        </w:tc>
        <w:tc>
          <w:tcPr/>
          <w:p>
            <w:pPr>
              <w:pStyle w:val="Compact"/>
              <w:jc w:val="left"/>
            </w:pPr>
            <w:r>
              <w:t xml:space="preserve">pieces</w:t>
            </w:r>
          </w:p>
        </w:tc>
        <w:tc>
          <w:tcPr/>
          <w:p>
            <w:pPr>
              <w:pStyle w:val="Compact"/>
              <w:jc w:val="left"/>
            </w:pPr>
            <w:r>
              <w:t xml:space="preserve">3.75</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613,875.00</w:t>
            </w:r>
          </w:p>
        </w:tc>
      </w:tr>
      <w:tr>
        <w:tc>
          <w:tcPr/>
          <w:p>
            <w:pPr>
              <w:pStyle w:val="Compact"/>
              <w:jc w:val="left"/>
            </w:pPr>
            <w:r>
              <w:t xml:space="preserve">Freight &amp; Shipping to Senegal Dakar (CIF):</w:t>
            </w:r>
          </w:p>
        </w:tc>
        <w:tc>
          <w:tcPr/>
          <w:p>
            <w:pPr>
              <w:pStyle w:val="Compact"/>
              <w:jc w:val="left"/>
            </w:pPr>
            <w:r>
              <w:t xml:space="preserve">USD 48,500.00</w:t>
            </w:r>
          </w:p>
        </w:tc>
      </w:tr>
      <w:tr>
        <w:tc>
          <w:tcPr/>
          <w:p>
            <w:pPr>
              <w:pStyle w:val="Compact"/>
              <w:jc w:val="left"/>
            </w:pPr>
            <w:r>
              <w:t xml:space="preserve">Import Duties &amp; Senegal Dakar Port Fees:</w:t>
            </w:r>
          </w:p>
        </w:tc>
        <w:tc>
          <w:tcPr/>
          <w:p>
            <w:pPr>
              <w:pStyle w:val="Compact"/>
              <w:jc w:val="left"/>
            </w:pPr>
            <w:r>
              <w:t xml:space="preserve">USD 22,300.00</w:t>
            </w:r>
          </w:p>
        </w:tc>
      </w:tr>
      <w:tr>
        <w:tc>
          <w:tcPr/>
          <w:p>
            <w:pPr>
              <w:pStyle w:val="Compact"/>
              <w:jc w:val="left"/>
            </w:pPr>
            <w:r>
              <w:t xml:space="preserve">Insurance (All-Risk, Marine Cargo):</w:t>
            </w:r>
          </w:p>
        </w:tc>
        <w:tc>
          <w:tcPr/>
          <w:p>
            <w:pPr>
              <w:pStyle w:val="Compact"/>
              <w:jc w:val="left"/>
            </w:pPr>
            <w:r>
              <w:t xml:space="preserve">USD 6,140.00</w:t>
            </w:r>
          </w:p>
        </w:tc>
      </w:tr>
      <w:tr>
        <w:tc>
          <w:tcPr/>
          <w:p>
            <w:pPr>
              <w:pStyle w:val="Compact"/>
              <w:jc w:val="left"/>
            </w:pPr>
            <w:r>
              <w:t xml:space="preserve">GRAND TOTAL:</w:t>
            </w:r>
          </w:p>
        </w:tc>
        <w:tc>
          <w:tcPr/>
          <w:p>
            <w:pPr>
              <w:pStyle w:val="Compact"/>
              <w:jc w:val="left"/>
            </w:pPr>
            <w:r>
              <w:t xml:space="preserve">USD 690,815.00</w:t>
            </w:r>
          </w:p>
        </w:tc>
      </w:tr>
    </w:tbl>
    <w:bookmarkEnd w:id="22"/>
    <w:bookmarkStart w:id="23" w:name="delivery-and-logistics-to-senegal-dakar"/>
    <w:p>
      <w:pPr>
        <w:pStyle w:val="Heading2"/>
      </w:pPr>
      <w:r>
        <w:t xml:space="preserve">3. Delivery and Logistics to Senegal Dakar</w:t>
      </w:r>
    </w:p>
    <w:p>
      <w:pPr>
        <w:pStyle w:val="FirstParagraph"/>
      </w:pPr>
      <w:r>
        <w:t xml:space="preserve">The Supplier shall deliver all mason materials listed in this Purchase Order to the designated construction site in the Almadies District, Senegal Dakar, no later than 28 September 2025. Delivery shall be made in accordance with the Incoterms 2020 CIF (Cost, Insurance, and Freight) Port of Dakar, Senegal. The Supplier is responsible for all mason material packaging, loading, ocean freight, marine insurance, and unloading at the Port of Dakar. The Buyer shall arrange for inland transport from the Port of Dakar to the final construction site within Senegal Dakar.</w:t>
      </w:r>
    </w:p>
    <w:p>
      <w:pPr>
        <w:pStyle w:val="BodyText"/>
      </w:pPr>
      <w:r>
        <w:t xml:space="preserve">All mason blocks and mason units must be palletized, shrink-wrapped, and clearly labeled with the Purchase Order number, item description, quantity, and the destination "Senegal Dakar – Almadies Construction Site." The Supplier must provide a detailed packing list and bill of lading at least 72 hours prior to vessel departure.</w:t>
      </w:r>
    </w:p>
    <w:bookmarkEnd w:id="23"/>
    <w:bookmarkStart w:id="24" w:name="quality-assurance-and-inspection"/>
    <w:p>
      <w:pPr>
        <w:pStyle w:val="Heading2"/>
      </w:pPr>
      <w:r>
        <w:t xml:space="preserve">4. Quality Assurance and Inspection</w:t>
      </w:r>
    </w:p>
    <w:p>
      <w:pPr>
        <w:pStyle w:val="FirstParagraph"/>
      </w:pPr>
      <w:r>
        <w:t xml:space="preserve">Upon arrival at the Senegal Dakar construction site, the Buyer's designated quality control engineer shall inspect a minimum of 10% of all mason blocks and mason units for dimensional accuracy, compressive strength, surface integrity, and compliance with the specifications stated in this Purchase Order. Any mason materials found to be defective, damaged in transit, or non-conforming to the agreed specifications shall be rejected at the Supplier's sole cost. The Supplier shall replace rejected mason materials within 30 calendar days of written notice from the Buyer.</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 Purchase Order constitutes a binding agreement between the Buyer and the Supplier upon signature by both parties. Any amendments to this Purchase Order must be made in writing and signed by authorized representatives of both parties.</w:t>
      </w:r>
    </w:p>
    <w:p>
      <w:pPr>
        <w:numPr>
          <w:ilvl w:val="0"/>
          <w:numId w:val="1001"/>
        </w:numPr>
        <w:pStyle w:val="Compact"/>
      </w:pPr>
      <w:r>
        <w:rPr>
          <w:bCs/>
          <w:b/>
        </w:rPr>
        <w:t xml:space="preserve">5.2</w:t>
      </w:r>
      <w:r>
        <w:t xml:space="preserve"> </w:t>
      </w:r>
      <w:r>
        <w:t xml:space="preserve">– The Supplier warrants that all mason products supplied under this Purchase Order are new, of first quality, and free from any manufacturing defects. The warranty period for mason blocks and mason units is 12 months from the date of delivery at Senegal Dakar.</w:t>
      </w:r>
    </w:p>
    <w:p>
      <w:pPr>
        <w:numPr>
          <w:ilvl w:val="0"/>
          <w:numId w:val="1001"/>
        </w:numPr>
        <w:pStyle w:val="Compact"/>
      </w:pPr>
      <w:r>
        <w:rPr>
          <w:bCs/>
          <w:b/>
        </w:rPr>
        <w:t xml:space="preserve">5.3</w:t>
      </w:r>
      <w:r>
        <w:t xml:space="preserve"> </w:t>
      </w:r>
      <w:r>
        <w:t xml:space="preserve">– Late delivery of mason materials beyond the agreed delivery date shall incur a penalty of 0.5% of the total Purchase Order value per calendar day of delay, up to a maximum of 10% of the total value.</w:t>
      </w:r>
    </w:p>
    <w:p>
      <w:pPr>
        <w:numPr>
          <w:ilvl w:val="0"/>
          <w:numId w:val="1001"/>
        </w:numPr>
        <w:pStyle w:val="Compact"/>
      </w:pPr>
      <w:r>
        <w:rPr>
          <w:bCs/>
          <w:b/>
        </w:rPr>
        <w:t xml:space="preserve">5.4</w:t>
      </w:r>
      <w:r>
        <w:t xml:space="preserve"> </w:t>
      </w:r>
      <w:r>
        <w:t xml:space="preserve">– All disputes arising from this Purchase Order shall be resolved through arbitration in Dakar, Senegal, in accordance with the rules of the Senegalese Chamber of Commerce. The governing law shall be the laws of the Republic of Senegal.</w:t>
      </w:r>
    </w:p>
    <w:p>
      <w:pPr>
        <w:numPr>
          <w:ilvl w:val="0"/>
          <w:numId w:val="1001"/>
        </w:numPr>
        <w:pStyle w:val="Compact"/>
      </w:pPr>
      <w:r>
        <w:rPr>
          <w:bCs/>
          <w:b/>
        </w:rPr>
        <w:t xml:space="preserve">5.5</w:t>
      </w:r>
      <w:r>
        <w:t xml:space="preserve"> </w:t>
      </w:r>
      <w:r>
        <w:t xml:space="preserve">– The Supplier shall comply with all applicable environmental regulations in Senegal Dakar regarding the transport, storage, and handling of mason construction materials. No hazardous substances shall be present in any mason product delivered under this Purchase Order.</w:t>
      </w:r>
    </w:p>
    <w:p>
      <w:pPr>
        <w:numPr>
          <w:ilvl w:val="0"/>
          <w:numId w:val="1001"/>
        </w:numPr>
        <w:pStyle w:val="Compact"/>
      </w:pPr>
      <w:r>
        <w:rPr>
          <w:bCs/>
          <w:b/>
        </w:rPr>
        <w:t xml:space="preserve">5.6</w:t>
      </w:r>
      <w:r>
        <w:t xml:space="preserve"> </w:t>
      </w:r>
      <w:r>
        <w:t xml:space="preserve">– The Buyer reserves the right to conduct unannounced factory inspections at the Supplier's manufacturing facility prior to the dispatch of mason materials to Senegal Dakar.</w:t>
      </w:r>
    </w:p>
    <w:p>
      <w:pPr>
        <w:numPr>
          <w:ilvl w:val="0"/>
          <w:numId w:val="1001"/>
        </w:numPr>
        <w:pStyle w:val="Compact"/>
      </w:pPr>
      <w:r>
        <w:rPr>
          <w:bCs/>
          <w:b/>
        </w:rPr>
        <w:t xml:space="preserve">5.7</w:t>
      </w:r>
      <w:r>
        <w:t xml:space="preserve"> </w:t>
      </w:r>
      <w:r>
        <w:t xml:space="preserve">– Force majeure events, including but not limited to natural disasters, port strikes in Senegal Dakar, or government-imposed trade restrictions, shall relieve the affected party from its obligations under this Purchase Order for the duration of the event, provided written notice is given within 5 business days.</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specifications, and obligations set forth in this Purchase Order for the supply of mason construction materials to the Senegal Dakar project site.</w:t>
      </w:r>
    </w:p>
    <w:p>
      <w:pPr>
        <w:pStyle w:val="BodyText"/>
      </w:pPr>
      <w:r>
        <w:rPr>
          <w:bCs/>
          <w:b/>
        </w:rPr>
        <w:t xml:space="preserve">For the Buyer:</w:t>
      </w:r>
    </w:p>
    <w:p>
      <w:pPr>
        <w:pStyle w:val="BodyText"/>
      </w:pPr>
      <w:r>
        <w:t xml:space="preserve">Dakar Infrastructure Development Corporation</w:t>
      </w:r>
    </w:p>
    <w:p>
      <w:pPr>
        <w:pStyle w:val="BodyText"/>
      </w:pPr>
      <w:r>
        <w:t xml:space="preserve">Name: Amadou Diallo</w:t>
      </w:r>
    </w:p>
    <w:p>
      <w:pPr>
        <w:pStyle w:val="BodyText"/>
      </w:pPr>
      <w:r>
        <w:t xml:space="preserve">Title: Chief Procurement Officer</w:t>
      </w:r>
    </w:p>
    <w:p>
      <w:pPr>
        <w:pStyle w:val="BodyText"/>
      </w:pPr>
      <w:r>
        <w:t xml:space="preserve">Date: _______________</w:t>
      </w:r>
    </w:p>
    <w:p>
      <w:pPr>
        <w:pStyle w:val="BodyText"/>
      </w:pPr>
      <w:r>
        <w:rPr>
          <w:bCs/>
          <w:b/>
        </w:rPr>
        <w:t xml:space="preserve">For the Supplier:</w:t>
      </w:r>
    </w:p>
    <w:p>
      <w:pPr>
        <w:pStyle w:val="BodyText"/>
      </w:pPr>
      <w:r>
        <w:t xml:space="preserve">Atlantic Mason Products International Ltd.</w:t>
      </w:r>
    </w:p>
    <w:p>
      <w:pPr>
        <w:pStyle w:val="BodyText"/>
      </w:pPr>
      <w:r>
        <w:t xml:space="preserve">Name: Youssef Benali</w:t>
      </w:r>
    </w:p>
    <w:p>
      <w:pPr>
        <w:pStyle w:val="BodyText"/>
      </w:pPr>
      <w:r>
        <w:t xml:space="preserve">Title: Director of Sales &amp; Export</w:t>
      </w:r>
    </w:p>
    <w:p>
      <w:pPr>
        <w:pStyle w:val="BodyText"/>
      </w:pPr>
      <w:r>
        <w:t xml:space="preserve">Date: _______________</w:t>
      </w:r>
    </w:p>
    <w:p>
      <w:pPr>
        <w:pStyle w:val="BodyText"/>
      </w:pPr>
      <w:r>
        <w:t xml:space="preserve">Purchase Order PO-SEN-DKR-2025-04782 | Dakar Infrastructure Development Corporation | Senegal Dakar, Republic of Senegal</w:t>
      </w:r>
    </w:p>
    <w:p>
      <w:pPr>
        <w:pStyle w:val="BodyText"/>
      </w:pPr>
      <w:r>
        <w:t xml:space="preserve">This document is the property of DIDC. Unauthorized reproduction or distribution is prohibited.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Materials - Senegal Dakar</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