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rPr>
          <w:bCs/>
          <w:b/>
        </w:rPr>
        <w:t xml:space="preserve">Nile Construction &amp; Development Co., Ltd.</w:t>
      </w:r>
    </w:p>
    <w:p>
      <w:pPr>
        <w:pStyle w:val="BodyText"/>
      </w:pPr>
      <w:r>
        <w:t xml:space="preserve">P.O. Box 4521, Omdurman Industrial Area, Sudan Khartoum</w:t>
      </w:r>
    </w:p>
    <w:p>
      <w:pPr>
        <w:pStyle w:val="BodyText"/>
      </w:pPr>
      <w:r>
        <w:t xml:space="preserve">Tel: +249-183-456-789 | Email: procurement@nileconstruction.sd</w:t>
      </w:r>
    </w:p>
    <w:p>
      <w:pPr>
        <w:pStyle w:val="BodyText"/>
      </w:pPr>
      <w:r>
        <w:t xml:space="preserve">Commercial Registration No. 10234567 | Tax ID: SD-89012345</w:t>
      </w:r>
    </w:p>
    <w:bookmarkEnd w:id="20"/>
    <w:p>
      <w:pPr>
        <w:pStyle w:val="BodyText"/>
      </w:pPr>
      <w:r>
        <w:rPr>
          <w:bCs/>
          <w:b/>
        </w:rPr>
        <w:t xml:space="preserve">Purchase Order No.:</w:t>
      </w:r>
      <w:r>
        <w:t xml:space="preserve"> </w:t>
      </w:r>
      <w:r>
        <w:t xml:space="preserve">PO-2025-0478</w:t>
      </w:r>
    </w:p>
    <w:p>
      <w:pPr>
        <w:pStyle w:val="BodyText"/>
      </w:pPr>
      <w:r>
        <w:rPr>
          <w:bCs/>
          <w:b/>
        </w:rPr>
        <w:t xml:space="preserve">Date of Issue:</w:t>
      </w:r>
      <w:r>
        <w:t xml:space="preserve"> </w:t>
      </w:r>
      <w:r>
        <w:t xml:space="preserve">15 June 2025</w:t>
      </w:r>
    </w:p>
    <w:p>
      <w:pPr>
        <w:pStyle w:val="BodyText"/>
      </w:pPr>
      <w:r>
        <w:rPr>
          <w:bCs/>
          <w:b/>
        </w:rPr>
        <w:t xml:space="preserve">Required Completion Date:</w:t>
      </w:r>
      <w:r>
        <w:t xml:space="preserve"> </w:t>
      </w:r>
      <w:r>
        <w:t xml:space="preserve">30 September 2025</w:t>
      </w:r>
    </w:p>
    <w:p>
      <w:pPr>
        <w:pStyle w:val="BodyText"/>
      </w:pPr>
      <w:r>
        <w:rPr>
          <w:bCs/>
          <w:b/>
        </w:rPr>
        <w:t xml:space="preserve">Project Reference:</w:t>
      </w:r>
      <w:r>
        <w:t xml:space="preserve"> </w:t>
      </w:r>
      <w:r>
        <w:t xml:space="preserve">NK-RES-2025-012</w:t>
      </w:r>
    </w:p>
    <w:p>
      <w:pPr>
        <w:pStyle w:val="BodyText"/>
      </w:pPr>
      <w:r>
        <w:rPr>
          <w:bCs/>
          <w:b/>
        </w:rPr>
        <w:t xml:space="preserve">Project Location:</w:t>
      </w:r>
      <w:r>
        <w:t xml:space="preserve"> </w:t>
      </w:r>
      <w:r>
        <w:t xml:space="preserve">Al-Murra District, Sudan Khartoum</w:t>
      </w:r>
    </w:p>
    <w:p>
      <w:pPr>
        <w:pStyle w:val="BodyText"/>
      </w:pPr>
      <w:r>
        <w:rPr>
          <w:bCs/>
          <w:b/>
        </w:rPr>
        <w:t xml:space="preserve">Payment Terms:</w:t>
      </w:r>
      <w:r>
        <w:t xml:space="preserve"> </w:t>
      </w:r>
      <w:r>
        <w:t xml:space="preserve">30 Days Net</w:t>
      </w:r>
    </w:p>
    <w:bookmarkStart w:id="21" w:name="vendor-contractor-details"/>
    <w:p>
      <w:pPr>
        <w:pStyle w:val="Heading2"/>
      </w:pPr>
      <w:r>
        <w:t xml:space="preserve">Vendor / Contractor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Al-Khatib Mason &amp; Stoneworks Contracting LLC</w:t>
            </w:r>
          </w:p>
        </w:tc>
      </w:tr>
      <w:tr>
        <w:tc>
          <w:tcPr/>
          <w:p>
            <w:pPr>
              <w:pStyle w:val="Compact"/>
              <w:jc w:val="left"/>
            </w:pPr>
            <w:r>
              <w:t xml:space="preserve">Principal Mason / Site Supervisor</w:t>
            </w:r>
          </w:p>
        </w:tc>
        <w:tc>
          <w:tcPr/>
          <w:p>
            <w:pPr>
              <w:pStyle w:val="Compact"/>
              <w:jc w:val="left"/>
            </w:pPr>
            <w:r>
              <w:t xml:space="preserve">Mr. Ibrahim Al-Khatib (Licensed Mason, Sudan Ministry of Housing Registration No. MS-2019-0342)</w:t>
            </w:r>
          </w:p>
        </w:tc>
      </w:tr>
      <w:tr>
        <w:tc>
          <w:tcPr/>
          <w:p>
            <w:pPr>
              <w:pStyle w:val="Compact"/>
              <w:jc w:val="left"/>
            </w:pPr>
            <w:r>
              <w:t xml:space="preserve">Address</w:t>
            </w:r>
          </w:p>
        </w:tc>
        <w:tc>
          <w:tcPr/>
          <w:p>
            <w:pPr>
              <w:pStyle w:val="Compact"/>
              <w:jc w:val="left"/>
            </w:pPr>
            <w:r>
              <w:t xml:space="preserve">Plot 78, Al-Sirah Road, Khartoum North, Sudan Khartoum</w:t>
            </w:r>
          </w:p>
        </w:tc>
      </w:tr>
      <w:tr>
        <w:tc>
          <w:tcPr/>
          <w:p>
            <w:pPr>
              <w:pStyle w:val="Compact"/>
              <w:jc w:val="left"/>
            </w:pPr>
            <w:r>
              <w:t xml:space="preserve">Contact Number</w:t>
            </w:r>
          </w:p>
        </w:tc>
        <w:tc>
          <w:tcPr/>
          <w:p>
            <w:pPr>
              <w:pStyle w:val="Compact"/>
              <w:jc w:val="left"/>
            </w:pPr>
            <w:r>
              <w:t xml:space="preserve">+249-911-234-567</w:t>
            </w:r>
          </w:p>
        </w:tc>
      </w:tr>
      <w:tr>
        <w:tc>
          <w:tcPr/>
          <w:p>
            <w:pPr>
              <w:pStyle w:val="Compact"/>
              <w:jc w:val="left"/>
            </w:pPr>
            <w:r>
              <w:t xml:space="preserve">Email</w:t>
            </w:r>
          </w:p>
        </w:tc>
        <w:tc>
          <w:tcPr/>
          <w:p>
            <w:pPr>
              <w:pStyle w:val="Compact"/>
              <w:jc w:val="left"/>
            </w:pPr>
            <w:r>
              <w:t xml:space="preserve">alkhatibmason@gmail.com</w:t>
            </w:r>
          </w:p>
        </w:tc>
      </w:tr>
      <w:tr>
        <w:tc>
          <w:tcPr/>
          <w:p>
            <w:pPr>
              <w:pStyle w:val="Compact"/>
              <w:jc w:val="left"/>
            </w:pPr>
            <w:r>
              <w:t xml:space="preserve">Bank Details</w:t>
            </w:r>
          </w:p>
        </w:tc>
        <w:tc>
          <w:tcPr/>
          <w:p>
            <w:pPr>
              <w:pStyle w:val="Compact"/>
              <w:jc w:val="left"/>
            </w:pPr>
            <w:r>
              <w:t xml:space="preserve">Bank of Khartoum, Account No. 4501-8823-7765, SWIFT: BKHSKHKH</w:t>
            </w:r>
          </w:p>
        </w:tc>
      </w:tr>
    </w:tbl>
    <w:bookmarkEnd w:id="21"/>
    <w:bookmarkStart w:id="22" w:name="scope-of-work-mason-services"/>
    <w:p>
      <w:pPr>
        <w:pStyle w:val="Heading2"/>
      </w:pPr>
      <w:r>
        <w:t xml:space="preserve">Scope of Work – Mason Services</w:t>
      </w:r>
    </w:p>
    <w:p>
      <w:pPr>
        <w:pStyle w:val="FirstParagraph"/>
      </w:pPr>
      <w:r>
        <w:t xml:space="preserve">This</w:t>
      </w:r>
      <w:r>
        <w:t xml:space="preserve"> </w:t>
      </w:r>
      <w:r>
        <w:t xml:space="preserve">Purchase Order</w:t>
      </w:r>
      <w:r>
        <w:t xml:space="preserve"> </w:t>
      </w:r>
      <w:r>
        <w:t xml:space="preserve">is issued by Nile Construction &amp; Development Co., Ltd. to Al-Khatib Mason &amp; Stoneworks Contracting LLC for the provision of all</w:t>
      </w:r>
      <w:r>
        <w:t xml:space="preserve"> </w:t>
      </w:r>
      <w:r>
        <w:t xml:space="preserve">Mason</w:t>
      </w:r>
      <w:r>
        <w:t xml:space="preserve"> </w:t>
      </w:r>
      <w:r>
        <w:t xml:space="preserve">services, materials, and labour required for the construction of a four-storey residential building located in the Al-Murra District of</w:t>
      </w:r>
      <w:r>
        <w:t xml:space="preserve"> </w:t>
      </w:r>
      <w:r>
        <w:t xml:space="preserve">Sudan Khartoum</w:t>
      </w:r>
      <w:r>
        <w:t xml:space="preserve">. The</w:t>
      </w:r>
      <w:r>
        <w:t xml:space="preserve"> </w:t>
      </w:r>
      <w:r>
        <w:t xml:space="preserve">Mason</w:t>
      </w:r>
      <w:r>
        <w:t xml:space="preserve"> </w:t>
      </w:r>
      <w:r>
        <w:t xml:space="preserve">contractor shall be responsible for all masonry work including but not limited to foundation blockwork, load-bearing wall construction, partition walls, lintels, sills, and finishing plastering in accordance with the approved architectural and structural drawings referenced under Project NK-RES-2025-012.</w:t>
      </w:r>
    </w:p>
    <w:bookmarkEnd w:id="22"/>
    <w:bookmarkStart w:id="23" w:name="line-items-and-pricing"/>
    <w:p>
      <w:pPr>
        <w:pStyle w:val="Heading2"/>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Mason Work / Item</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(SDG)</w:t>
            </w:r>
          </w:p>
        </w:tc>
        <w:tc>
          <w:tcPr/>
          <w:p>
            <w:pPr>
              <w:pStyle w:val="Compact"/>
              <w:jc w:val="left"/>
            </w:pPr>
            <w:r>
              <w:t xml:space="preserve">Total (SDG)</w:t>
            </w:r>
          </w:p>
        </w:tc>
      </w:tr>
      <w:tr>
        <w:tc>
          <w:tcPr/>
          <w:p>
            <w:pPr>
              <w:pStyle w:val="Compact"/>
              <w:jc w:val="left"/>
            </w:pPr>
            <w:r>
              <w:t xml:space="preserve">1</w:t>
            </w:r>
          </w:p>
        </w:tc>
        <w:tc>
          <w:tcPr/>
          <w:p>
            <w:pPr>
              <w:pStyle w:val="Compact"/>
              <w:jc w:val="left"/>
            </w:pPr>
            <w:r>
              <w:t xml:space="preserve">Foundation blockwork – 200mm concrete blocks, cement mortar 1:4 mix, including all Mason labour and scaffolding</w:t>
            </w:r>
          </w:p>
        </w:tc>
        <w:tc>
          <w:tcPr/>
          <w:p>
            <w:pPr>
              <w:pStyle w:val="Compact"/>
              <w:jc w:val="left"/>
            </w:pPr>
            <w:r>
              <w:t xml:space="preserve">m³</w:t>
            </w:r>
          </w:p>
        </w:tc>
        <w:tc>
          <w:tcPr/>
          <w:p>
            <w:pPr>
              <w:pStyle w:val="Compact"/>
              <w:jc w:val="left"/>
            </w:pPr>
            <w:r>
              <w:t xml:space="preserve">185</w:t>
            </w:r>
          </w:p>
        </w:tc>
        <w:tc>
          <w:tcPr/>
          <w:p>
            <w:pPr>
              <w:pStyle w:val="Compact"/>
              <w:jc w:val="left"/>
            </w:pPr>
            <w:r>
              <w:t xml:space="preserve">42,500</w:t>
            </w:r>
          </w:p>
        </w:tc>
        <w:tc>
          <w:tcPr/>
          <w:p>
            <w:pPr>
              <w:pStyle w:val="Compact"/>
              <w:jc w:val="left"/>
            </w:pPr>
            <w:r>
              <w:t xml:space="preserve">7,862,500</w:t>
            </w:r>
          </w:p>
        </w:tc>
      </w:tr>
      <w:tr>
        <w:tc>
          <w:tcPr/>
          <w:p>
            <w:pPr>
              <w:pStyle w:val="Compact"/>
              <w:jc w:val="left"/>
            </w:pPr>
            <w:r>
              <w:t xml:space="preserve">2</w:t>
            </w:r>
          </w:p>
        </w:tc>
        <w:tc>
          <w:tcPr/>
          <w:p>
            <w:pPr>
              <w:pStyle w:val="Compact"/>
              <w:jc w:val="left"/>
            </w:pPr>
            <w:r>
              <w:t xml:space="preserve">Load-bearing external wall construction – 200mm solid clay bricks, cement mortar 1:5, including Mason crew of 12 workers</w:t>
            </w:r>
          </w:p>
        </w:tc>
        <w:tc>
          <w:tcPr/>
          <w:p>
            <w:pPr>
              <w:pStyle w:val="Compact"/>
              <w:jc w:val="left"/>
            </w:pPr>
            <w:r>
              <w:t xml:space="preserve">m²</w:t>
            </w:r>
          </w:p>
        </w:tc>
        <w:tc>
          <w:tcPr/>
          <w:p>
            <w:pPr>
              <w:pStyle w:val="Compact"/>
              <w:jc w:val="left"/>
            </w:pPr>
            <w:r>
              <w:t xml:space="preserve">2,400</w:t>
            </w:r>
          </w:p>
        </w:tc>
        <w:tc>
          <w:tcPr/>
          <w:p>
            <w:pPr>
              <w:pStyle w:val="Compact"/>
              <w:jc w:val="left"/>
            </w:pPr>
            <w:r>
              <w:t xml:space="preserve">18,750</w:t>
            </w:r>
          </w:p>
        </w:tc>
        <w:tc>
          <w:tcPr/>
          <w:p>
            <w:pPr>
              <w:pStyle w:val="Compact"/>
              <w:jc w:val="left"/>
            </w:pPr>
            <w:r>
              <w:t xml:space="preserve">45,000,000</w:t>
            </w:r>
          </w:p>
        </w:tc>
      </w:tr>
      <w:tr>
        <w:tc>
          <w:tcPr/>
          <w:p>
            <w:pPr>
              <w:pStyle w:val="Compact"/>
              <w:jc w:val="left"/>
            </w:pPr>
            <w:r>
              <w:t xml:space="preserve">3</w:t>
            </w:r>
          </w:p>
        </w:tc>
        <w:tc>
          <w:tcPr/>
          <w:p>
            <w:pPr>
              <w:pStyle w:val="Compact"/>
              <w:jc w:val="left"/>
            </w:pPr>
            <w:r>
              <w:t xml:space="preserve">Internal partition walls – 100mm hollow concrete blocks, cement mortar 1:6, including Mason finishing</w:t>
            </w:r>
          </w:p>
        </w:tc>
        <w:tc>
          <w:tcPr/>
          <w:p>
            <w:pPr>
              <w:pStyle w:val="Compact"/>
              <w:jc w:val="left"/>
            </w:pPr>
            <w:r>
              <w:t xml:space="preserve">m²</w:t>
            </w:r>
          </w:p>
        </w:tc>
        <w:tc>
          <w:tcPr/>
          <w:p>
            <w:pPr>
              <w:pStyle w:val="Compact"/>
              <w:jc w:val="left"/>
            </w:pPr>
            <w:r>
              <w:t xml:space="preserve">3,100</w:t>
            </w:r>
          </w:p>
        </w:tc>
        <w:tc>
          <w:tcPr/>
          <w:p>
            <w:pPr>
              <w:pStyle w:val="Compact"/>
              <w:jc w:val="left"/>
            </w:pPr>
            <w:r>
              <w:t xml:space="preserve">11,200</w:t>
            </w:r>
          </w:p>
        </w:tc>
        <w:tc>
          <w:tcPr/>
          <w:p>
            <w:pPr>
              <w:pStyle w:val="Compact"/>
              <w:jc w:val="left"/>
            </w:pPr>
            <w:r>
              <w:t xml:space="preserve">34,720,000</w:t>
            </w:r>
          </w:p>
        </w:tc>
      </w:tr>
      <w:tr>
        <w:tc>
          <w:tcPr/>
          <w:p>
            <w:pPr>
              <w:pStyle w:val="Compact"/>
              <w:jc w:val="left"/>
            </w:pPr>
            <w:r>
              <w:t xml:space="preserve">4</w:t>
            </w:r>
          </w:p>
        </w:tc>
        <w:tc>
          <w:tcPr/>
          <w:p>
            <w:pPr>
              <w:pStyle w:val="Compact"/>
              <w:jc w:val="left"/>
            </w:pPr>
            <w:r>
              <w:t xml:space="preserve">Reinforced concrete lintels and window sills – cast in situ, including formwork and Mason placement</w:t>
            </w:r>
          </w:p>
        </w:tc>
        <w:tc>
          <w:tcPr/>
          <w:p>
            <w:pPr>
              <w:pStyle w:val="Compact"/>
              <w:jc w:val="left"/>
            </w:pPr>
            <w:r>
              <w:t xml:space="preserve">nos.</w:t>
            </w:r>
          </w:p>
        </w:tc>
        <w:tc>
          <w:tcPr/>
          <w:p>
            <w:pPr>
              <w:pStyle w:val="Compact"/>
              <w:jc w:val="left"/>
            </w:pPr>
            <w:r>
              <w:t xml:space="preserve">96</w:t>
            </w:r>
          </w:p>
        </w:tc>
        <w:tc>
          <w:tcPr/>
          <w:p>
            <w:pPr>
              <w:pStyle w:val="Compact"/>
              <w:jc w:val="left"/>
            </w:pPr>
            <w:r>
              <w:t xml:space="preserve">38,000</w:t>
            </w:r>
          </w:p>
        </w:tc>
        <w:tc>
          <w:tcPr/>
          <w:p>
            <w:pPr>
              <w:pStyle w:val="Compact"/>
              <w:jc w:val="left"/>
            </w:pPr>
            <w:r>
              <w:t xml:space="preserve">3,648,000</w:t>
            </w:r>
          </w:p>
        </w:tc>
      </w:tr>
      <w:tr>
        <w:tc>
          <w:tcPr/>
          <w:p>
            <w:pPr>
              <w:pStyle w:val="Compact"/>
              <w:jc w:val="left"/>
            </w:pPr>
            <w:r>
              <w:t xml:space="preserve">5</w:t>
            </w:r>
          </w:p>
        </w:tc>
        <w:tc>
          <w:tcPr/>
          <w:p>
            <w:pPr>
              <w:pStyle w:val="Compact"/>
              <w:jc w:val="left"/>
            </w:pPr>
            <w:r>
              <w:t xml:space="preserve">Internal and external plastering – two-coat cement plaster 12mm, including all Mason and helper labour</w:t>
            </w:r>
          </w:p>
        </w:tc>
        <w:tc>
          <w:tcPr/>
          <w:p>
            <w:pPr>
              <w:pStyle w:val="Compact"/>
              <w:jc w:val="left"/>
            </w:pPr>
            <w:r>
              <w:t xml:space="preserve">m²</w:t>
            </w:r>
          </w:p>
        </w:tc>
        <w:tc>
          <w:tcPr/>
          <w:p>
            <w:pPr>
              <w:pStyle w:val="Compact"/>
              <w:jc w:val="left"/>
            </w:pPr>
            <w:r>
              <w:t xml:space="preserve">8,600</w:t>
            </w:r>
          </w:p>
        </w:tc>
        <w:tc>
          <w:tcPr/>
          <w:p>
            <w:pPr>
              <w:pStyle w:val="Compact"/>
              <w:jc w:val="left"/>
            </w:pPr>
            <w:r>
              <w:t xml:space="preserve">7,800</w:t>
            </w:r>
          </w:p>
        </w:tc>
        <w:tc>
          <w:tcPr/>
          <w:p>
            <w:pPr>
              <w:pStyle w:val="Compact"/>
              <w:jc w:val="left"/>
            </w:pPr>
            <w:r>
              <w:t xml:space="preserve">67,080,000</w:t>
            </w:r>
          </w:p>
        </w:tc>
      </w:tr>
      <w:tr>
        <w:tc>
          <w:tcPr/>
          <w:p>
            <w:pPr>
              <w:pStyle w:val="Compact"/>
              <w:jc w:val="left"/>
            </w:pPr>
            <w:r>
              <w:t xml:space="preserve">6</w:t>
            </w:r>
          </w:p>
        </w:tc>
        <w:tc>
          <w:tcPr/>
          <w:p>
            <w:pPr>
              <w:pStyle w:val="Compact"/>
              <w:jc w:val="left"/>
            </w:pPr>
            <w:r>
              <w:t xml:space="preserve">Staircase masonry – solid brick steps with concrete treads, including Mason finishing and handrail fixing</w:t>
            </w:r>
          </w:p>
        </w:tc>
        <w:tc>
          <w:tcPr/>
          <w:p>
            <w:pPr>
              <w:pStyle w:val="Compact"/>
              <w:jc w:val="left"/>
            </w:pPr>
            <w:r>
              <w:t xml:space="preserve">nos.</w:t>
            </w:r>
          </w:p>
        </w:tc>
        <w:tc>
          <w:tcPr/>
          <w:p>
            <w:pPr>
              <w:pStyle w:val="Compact"/>
              <w:jc w:val="left"/>
            </w:pPr>
            <w:r>
              <w:t xml:space="preserve">4</w:t>
            </w:r>
          </w:p>
        </w:tc>
        <w:tc>
          <w:tcPr/>
          <w:p>
            <w:pPr>
              <w:pStyle w:val="Compact"/>
              <w:jc w:val="left"/>
            </w:pPr>
            <w:r>
              <w:t xml:space="preserve">520,000</w:t>
            </w:r>
          </w:p>
        </w:tc>
        <w:tc>
          <w:tcPr/>
          <w:p>
            <w:pPr>
              <w:pStyle w:val="Compact"/>
              <w:jc w:val="left"/>
            </w:pPr>
            <w:r>
              <w:t xml:space="preserve">2,080,000</w:t>
            </w:r>
          </w:p>
        </w:tc>
      </w:tr>
      <w:tr>
        <w:tc>
          <w:tcPr/>
          <w:p>
            <w:pPr>
              <w:pStyle w:val="Compact"/>
              <w:jc w:val="left"/>
            </w:pPr>
            <w:r>
              <w:t xml:space="preserve">7</w:t>
            </w:r>
          </w:p>
        </w:tc>
        <w:tc>
          <w:tcPr/>
          <w:p>
            <w:pPr>
              <w:pStyle w:val="Compact"/>
              <w:jc w:val="left"/>
            </w:pPr>
            <w:r>
              <w:t xml:space="preserve">Site supervision by licensed Mason foreman – full duration of masonry works in Sudan Khartoum</w:t>
            </w:r>
          </w:p>
        </w:tc>
        <w:tc>
          <w:tcPr/>
          <w:p>
            <w:pPr>
              <w:pStyle w:val="Compact"/>
              <w:jc w:val="left"/>
            </w:pPr>
            <w:r>
              <w:t xml:space="preserve">month</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r>
      <w:tr>
        <w:tc>
          <w:tcPr>
            <w:gridSpan w:val="5"/>
          </w:tcPr>
          <w:p>
            <w:pPr>
              <w:pStyle w:val="Compact"/>
              <w:jc w:val="right"/>
            </w:pPr>
            <w:r>
              <w:t xml:space="preserve">Subtotal</w:t>
            </w:r>
          </w:p>
        </w:tc>
        <w:tc>
          <w:tcPr/>
          <w:p>
            <w:pPr>
              <w:pStyle w:val="Compact"/>
              <w:jc w:val="left"/>
            </w:pPr>
            <w:r>
              <w:t xml:space="preserve">161,130,500</w:t>
            </w:r>
          </w:p>
        </w:tc>
      </w:tr>
      <w:tr>
        <w:tc>
          <w:tcPr>
            <w:gridSpan w:val="5"/>
          </w:tcPr>
          <w:p>
            <w:pPr>
              <w:pStyle w:val="Compact"/>
              <w:jc w:val="right"/>
            </w:pPr>
            <w:r>
              <w:t xml:space="preserve">VAT (15% – Sudan Khartoum standard rate)</w:t>
            </w:r>
          </w:p>
        </w:tc>
        <w:tc>
          <w:tcPr/>
          <w:p>
            <w:pPr>
              <w:pStyle w:val="Compact"/>
              <w:jc w:val="left"/>
            </w:pPr>
            <w:r>
              <w:t xml:space="preserve">24,169,575</w:t>
            </w:r>
          </w:p>
        </w:tc>
      </w:tr>
      <w:tr>
        <w:tc>
          <w:tcPr>
            <w:gridSpan w:val="5"/>
          </w:tcPr>
          <w:p>
            <w:pPr>
              <w:pStyle w:val="Compact"/>
              <w:jc w:val="right"/>
            </w:pPr>
            <w:r>
              <w:t xml:space="preserve">TOTAL AMOUNT DUE (SDG)</w:t>
            </w:r>
          </w:p>
        </w:tc>
        <w:tc>
          <w:tcPr/>
          <w:p>
            <w:pPr>
              <w:pStyle w:val="Compact"/>
              <w:jc w:val="left"/>
            </w:pPr>
            <w:r>
              <w:t xml:space="preserve">185,300,075</w:t>
            </w:r>
          </w:p>
        </w:tc>
      </w:tr>
    </w:tbl>
    <w:bookmarkEnd w:id="23"/>
    <w:bookmarkStart w:id="24"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Nile Construction &amp; Development Co., Ltd. (hereinafter "the Purchaser") and Al-Khatib Mason &amp; Stoneworks Contracting LLC (hereinafter "the Mason Contractor") for the execution of all masonry works at the project site in</w:t>
      </w:r>
      <w:r>
        <w:t xml:space="preserve"> </w:t>
      </w:r>
      <w:r>
        <w:t xml:space="preserve">Sudan Khartoum</w:t>
      </w:r>
      <w:r>
        <w:t xml:space="preserve">.</w:t>
      </w:r>
    </w:p>
    <w:p>
      <w:pPr>
        <w:numPr>
          <w:ilvl w:val="0"/>
          <w:numId w:val="1001"/>
        </w:numPr>
        <w:pStyle w:val="Compact"/>
      </w:pPr>
      <w:r>
        <w:t xml:space="preserve">The</w:t>
      </w:r>
      <w:r>
        <w:t xml:space="preserve"> </w:t>
      </w:r>
      <w:r>
        <w:t xml:space="preserve">Mason</w:t>
      </w:r>
      <w:r>
        <w:t xml:space="preserve"> </w:t>
      </w:r>
      <w:r>
        <w:t xml:space="preserve">Contractor shall mobilise all personnel, tools, scaffolding, and materials to the site in Al-Murra District,</w:t>
      </w:r>
      <w:r>
        <w:t xml:space="preserve"> </w:t>
      </w:r>
      <w:r>
        <w:t xml:space="preserve">Sudan Khartoum</w:t>
      </w:r>
      <w:r>
        <w:t xml:space="preserve">, no later than 20 June 2025. Failure to mobilise within this timeframe shall entitle the Purchaser to a penalty of 0.5% of the total</w:t>
      </w:r>
      <w:r>
        <w:t xml:space="preserve"> </w:t>
      </w:r>
      <w:r>
        <w:t xml:space="preserve">Purchase Order</w:t>
      </w:r>
      <w:r>
        <w:t xml:space="preserve"> </w:t>
      </w:r>
      <w:r>
        <w:t xml:space="preserve">value per day of delay.</w:t>
      </w:r>
    </w:p>
    <w:p>
      <w:pPr>
        <w:numPr>
          <w:ilvl w:val="0"/>
          <w:numId w:val="1001"/>
        </w:numPr>
        <w:pStyle w:val="Compact"/>
      </w:pPr>
      <w:r>
        <w:t xml:space="preserve">All masonry work shall comply with the Sudanese National Building Code (SNBC 2022), the specifications outlined in the approved structural drawings, and the quality standards set by the Sudan Ministry of Housing and Urban Planning for projects located in</w:t>
      </w:r>
      <w:r>
        <w:t xml:space="preserve"> </w:t>
      </w:r>
      <w:r>
        <w:t xml:space="preserve">Sudan Khartoum</w:t>
      </w:r>
      <w:r>
        <w:t xml:space="preserve">.</w:t>
      </w:r>
    </w:p>
    <w:p>
      <w:pPr>
        <w:numPr>
          <w:ilvl w:val="0"/>
          <w:numId w:val="1001"/>
        </w:numPr>
        <w:pStyle w:val="Compact"/>
      </w:pPr>
      <w:r>
        <w:t xml:space="preserve">The</w:t>
      </w:r>
      <w:r>
        <w:t xml:space="preserve"> </w:t>
      </w:r>
      <w:r>
        <w:t xml:space="preserve">Mason</w:t>
      </w:r>
      <w:r>
        <w:t xml:space="preserve"> </w:t>
      </w:r>
      <w:r>
        <w:t xml:space="preserve">Contractor shall provide a minimum crew of twelve (12) skilled masons, four (4) helpers, and one (1) licensed Mason foreman on site during all working days (Sunday through Thursday, 7:00 AM to 5:00 PM, with a one-hour break for midday prayer).</w:t>
      </w:r>
    </w:p>
    <w:p>
      <w:pPr>
        <w:numPr>
          <w:ilvl w:val="0"/>
          <w:numId w:val="1001"/>
        </w:numPr>
        <w:pStyle w:val="Compact"/>
      </w:pPr>
      <w:r>
        <w:t xml:space="preserve">Payment shall be made in three (3) progress instalments: 30% upon completion of foundation and ground-floor blockwork, 40% upon completion of all structural masonry up to the roof level, and 30% upon final completion and acceptance of all plastering and finishing works. Each instalment is due within thirty (30) calendar days of the Purchaser's written approval of the respective milestone.</w:t>
      </w:r>
    </w:p>
    <w:p>
      <w:pPr>
        <w:numPr>
          <w:ilvl w:val="0"/>
          <w:numId w:val="1001"/>
        </w:numPr>
        <w:pStyle w:val="Compact"/>
      </w:pPr>
      <w:r>
        <w:t xml:space="preserve">The</w:t>
      </w:r>
      <w:r>
        <w:t xml:space="preserve"> </w:t>
      </w:r>
      <w:r>
        <w:t xml:space="preserve">Mason</w:t>
      </w:r>
      <w:r>
        <w:t xml:space="preserve"> </w:t>
      </w:r>
      <w:r>
        <w:t xml:space="preserve">Contractor shall bear full responsibility for the safety of all workers on site in accordance with the Occupational Health and Safety regulations of the Republic of Sudan. All workers must wear appropriate personal protective equipment (PPE) at all times while performing masonry tasks in</w:t>
      </w:r>
      <w:r>
        <w:t xml:space="preserve"> </w:t>
      </w:r>
      <w:r>
        <w:t xml:space="preserve">Sudan Khartoum</w:t>
      </w:r>
      <w:r>
        <w:t xml:space="preserve">.</w:t>
      </w:r>
    </w:p>
    <w:p>
      <w:pPr>
        <w:numPr>
          <w:ilvl w:val="0"/>
          <w:numId w:val="1001"/>
        </w:numPr>
        <w:pStyle w:val="Compact"/>
      </w:pPr>
      <w:r>
        <w:t xml:space="preserve">All materials including bricks, blocks, cement, sand, and reinforcement steel shall be sourced from approved suppliers registered with the Sudan Chamber of Commerce in Khartoum. The</w:t>
      </w:r>
      <w:r>
        <w:t xml:space="preserve"> </w:t>
      </w:r>
      <w:r>
        <w:t xml:space="preserve">Mason</w:t>
      </w:r>
      <w:r>
        <w:t xml:space="preserve"> </w:t>
      </w:r>
      <w:r>
        <w:t xml:space="preserve">Contractor shall submit material test certificates for cement and structural blocks prior to use on site.</w:t>
      </w:r>
    </w:p>
    <w:p>
      <w:pPr>
        <w:numPr>
          <w:ilvl w:val="0"/>
          <w:numId w:val="1001"/>
        </w:numPr>
        <w:pStyle w:val="Compact"/>
      </w:pPr>
      <w:r>
        <w:t xml:space="preserve">The Purchaser reserves the right to inspect and audit all masonry work at any stage. Any work found to be non-compliant with the specifications of this</w:t>
      </w:r>
      <w:r>
        <w:t xml:space="preserve"> </w:t>
      </w:r>
      <w:r>
        <w:t xml:space="preserve">Purchase Order</w:t>
      </w:r>
      <w:r>
        <w:t xml:space="preserve"> </w:t>
      </w:r>
      <w:r>
        <w:t xml:space="preserve">shall be rectified by the</w:t>
      </w:r>
      <w:r>
        <w:t xml:space="preserve"> </w:t>
      </w:r>
      <w:r>
        <w:t xml:space="preserve">Mason</w:t>
      </w:r>
      <w:r>
        <w:t xml:space="preserve"> </w:t>
      </w:r>
      <w:r>
        <w:t xml:space="preserve">Contractor at no additional cost to the Purchaser.</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amicable negotiation. Should negotiation fail, the matter shall be referred to the Arbitration Centre of the Khartoum Chamber of Commerce in</w:t>
      </w:r>
      <w:r>
        <w:t xml:space="preserve"> </w:t>
      </w:r>
      <w:r>
        <w:t xml:space="preserve">Sudan Khartoum</w:t>
      </w:r>
      <w:r>
        <w:t xml:space="preserve"> </w:t>
      </w:r>
      <w:r>
        <w:t xml:space="preserve">in accordance with its rules of procedure.</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Sudan. All notices and correspondence related to this order shall be sent to the addresses stated above in</w:t>
      </w:r>
      <w:r>
        <w:t xml:space="preserve"> </w:t>
      </w:r>
      <w:r>
        <w:t xml:space="preserve">Sudan Khartoum</w:t>
      </w:r>
      <w:r>
        <w:t xml:space="preserve">.</w:t>
      </w:r>
    </w:p>
    <w:bookmarkEnd w:id="24"/>
    <w:bookmarkStart w:id="25" w:name="acceptance-and-authorisation"/>
    <w:p>
      <w:pPr>
        <w:pStyle w:val="Heading2"/>
      </w:pPr>
      <w:r>
        <w:t xml:space="preserve">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w:t>
      </w:r>
      <w:r>
        <w:t xml:space="preserve"> </w:t>
      </w:r>
      <w:r>
        <w:t xml:space="preserve">Mason</w:t>
      </w:r>
      <w:r>
        <w:t xml:space="preserve"> </w:t>
      </w:r>
      <w:r>
        <w:t xml:space="preserve">works to be executed in</w:t>
      </w:r>
      <w:r>
        <w:t xml:space="preserve"> </w:t>
      </w:r>
      <w:r>
        <w:t xml:space="preserve">Sudan Khartoum</w:t>
      </w:r>
      <w:r>
        <w:t xml:space="preserve">. This document is valid for a period of ninety (90) days from the date of issue, after which a revised</w:t>
      </w:r>
      <w:r>
        <w:t xml:space="preserve"> </w:t>
      </w:r>
      <w:r>
        <w:t xml:space="preserve">Purchase Order</w:t>
      </w:r>
      <w:r>
        <w:t xml:space="preserve"> </w:t>
      </w:r>
      <w:r>
        <w:t xml:space="preserve">must be issued to reflect any changes in scope, pricing, or timeline.</w:t>
      </w:r>
    </w:p>
    <w:bookmarkEnd w:id="25"/>
    <w:p>
      <w:pPr>
        <w:pStyle w:val="BodyText"/>
      </w:pPr>
      <w:r>
        <w:rPr>
          <w:bCs/>
          <w:b/>
        </w:rPr>
        <w:t xml:space="preserve">For and on behalf of the Purchaser</w:t>
      </w:r>
      <w:r>
        <w:br/>
      </w:r>
      <w:r>
        <w:t xml:space="preserve">Nile Construction &amp; Development Co., Ltd.</w:t>
      </w:r>
      <w:r>
        <w:br/>
      </w:r>
      <w:r>
        <w:br/>
      </w:r>
      <w:r>
        <w:t xml:space="preserve">Name: Eng. Salma El-Tahir</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and on behalf of the Mason Contractor</w:t>
      </w:r>
      <w:r>
        <w:br/>
      </w:r>
      <w:r>
        <w:t xml:space="preserve">Al-Khatib Mason &amp; Stoneworks Contracting LLC</w:t>
      </w:r>
      <w:r>
        <w:br/>
      </w:r>
      <w:r>
        <w:br/>
      </w:r>
      <w:r>
        <w:t xml:space="preserve">Name: Mr. Ibrahim Al-Khatib</w:t>
      </w:r>
      <w:r>
        <w:br/>
      </w:r>
      <w:r>
        <w:t xml:space="preserve">Title: Principal Mason / Managing Director</w:t>
      </w:r>
      <w:r>
        <w:br/>
      </w:r>
      <w:r>
        <w:t xml:space="preserve">Signature: _________________________</w:t>
      </w:r>
      <w:r>
        <w:br/>
      </w:r>
      <w:r>
        <w:t xml:space="preserve">Date: _________________________</w:t>
      </w:r>
    </w:p>
    <w:p>
      <w:pPr>
        <w:pStyle w:val="BodyText"/>
      </w:pPr>
      <w:r>
        <w:rPr>
          <w:bCs/>
          <w:b/>
        </w:rPr>
        <w:t xml:space="preserve">Purchase Order No. PO-2025-0478</w:t>
      </w:r>
      <w:r>
        <w:t xml:space="preserve"> </w:t>
      </w:r>
      <w:r>
        <w:t xml:space="preserve">| Nile Construction &amp; Development Co., Ltd. | Sudan Khartoum</w:t>
      </w:r>
    </w:p>
    <w:p>
      <w:pPr>
        <w:pStyle w:val="BodyText"/>
      </w:pPr>
      <w:r>
        <w:t xml:space="preserve">This document is the property of Nile Construction &amp; Development Co., Ltd. Unauthorised reproduction or distribution is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Services - Sudan Khartoum</dc:title>
  <dc:creator/>
  <dc:language>en</dc:language>
  <cp:keywords/>
  <dcterms:created xsi:type="dcterms:W3CDTF">2026-10-10T09:09:59Z</dcterms:created>
  <dcterms:modified xsi:type="dcterms:W3CDTF">2026-10-10T09:09:59Z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