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kampala-construction-development-limited"/>
    <w:p>
      <w:pPr>
        <w:pStyle w:val="Heading1"/>
      </w:pPr>
      <w:r>
        <w:t xml:space="preserve">KAMPALA CONSTRUCTION &amp; DEVELOPMENT LIMITED</w:t>
      </w:r>
    </w:p>
    <w:p>
      <w:pPr>
        <w:pStyle w:val="FirstParagraph"/>
      </w:pPr>
      <w:r>
        <w:t xml:space="preserve">P.O. Box 4521, Plot 12, Kampala Road, Uganda Kampala</w:t>
      </w:r>
    </w:p>
    <w:p>
      <w:pPr>
        <w:pStyle w:val="BodyText"/>
      </w:pPr>
      <w:r>
        <w:t xml:space="preserve">Tel: +256-414-255-789 | Email: procurement@kampalacdl.co.ug</w:t>
      </w:r>
    </w:p>
    <w:p>
      <w:pPr>
        <w:pStyle w:val="BodyText"/>
      </w:pPr>
      <w:r>
        <w:t xml:space="preserve">Uganda Registration No: UG-2019-CDL-08834 | TIN: 100234567-000056</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PO-UK-2025-00472</w:t>
      </w:r>
    </w:p>
    <w:p>
      <w:pPr>
        <w:pStyle w:val="BodyText"/>
      </w:pPr>
      <w:r>
        <w:rPr>
          <w:bCs/>
          <w:b/>
        </w:rPr>
        <w:t xml:space="preserve">Date of Issue:</w:t>
      </w:r>
      <w:r>
        <w:t xml:space="preserve"> </w:t>
      </w:r>
      <w:r>
        <w:t xml:space="preserve">14 June 2025</w:t>
      </w:r>
    </w:p>
    <w:p>
      <w:pPr>
        <w:pStyle w:val="BodyText"/>
      </w:pPr>
      <w:r>
        <w:rPr>
          <w:bCs/>
          <w:b/>
        </w:rPr>
        <w:t xml:space="preserve">Delivery Location:</w:t>
      </w:r>
      <w:r>
        <w:t xml:space="preserve"> </w:t>
      </w:r>
      <w:r>
        <w:t xml:space="preserve">Plot 7, Ntinda Industrial Area, Uganda Kampala</w:t>
      </w:r>
    </w:p>
    <w:p>
      <w:pPr>
        <w:pStyle w:val="BodyText"/>
      </w:pPr>
      <w:r>
        <w:rPr>
          <w:bCs/>
          <w:b/>
        </w:rPr>
        <w:t xml:space="preserve">Required Completion:</w:t>
      </w:r>
      <w:r>
        <w:t xml:space="preserve"> </w:t>
      </w:r>
      <w:r>
        <w:t xml:space="preserve">30 August 2025</w:t>
      </w:r>
    </w:p>
    <w:p>
      <w:pPr>
        <w:pStyle w:val="BodyText"/>
      </w:pPr>
      <w:r>
        <w:rPr>
          <w:bCs/>
          <w:b/>
        </w:rPr>
        <w:t xml:space="preserve">Project Reference:</w:t>
      </w:r>
      <w:r>
        <w:t xml:space="preserve"> </w:t>
      </w:r>
      <w:r>
        <w:t xml:space="preserve">KCDL-RES-2025-BLK3</w:t>
      </w:r>
    </w:p>
    <w:bookmarkEnd w:id="21"/>
    <w:bookmarkStart w:id="22" w:name="supplier-mason-contractor"/>
    <w:p>
      <w:pPr>
        <w:pStyle w:val="Heading3"/>
      </w:pPr>
      <w:r>
        <w:t xml:space="preserve">Supplier / Mason Contractor</w:t>
      </w:r>
    </w:p>
    <w:p>
      <w:pPr>
        <w:pStyle w:val="FirstParagraph"/>
      </w:pPr>
      <w:r>
        <w:rPr>
          <w:bCs/>
          <w:b/>
        </w:rPr>
        <w:t xml:space="preserve">Name:</w:t>
      </w:r>
      <w:r>
        <w:t xml:space="preserve"> </w:t>
      </w:r>
      <w:r>
        <w:t xml:space="preserve">Mr. Samuel Okello (Master Mason)</w:t>
      </w:r>
    </w:p>
    <w:p>
      <w:pPr>
        <w:pStyle w:val="BodyText"/>
      </w:pPr>
      <w:r>
        <w:rPr>
          <w:bCs/>
          <w:b/>
        </w:rPr>
        <w:t xml:space="preserve">Company:</w:t>
      </w:r>
      <w:r>
        <w:t xml:space="preserve"> </w:t>
      </w:r>
      <w:r>
        <w:t xml:space="preserve">Okello Masonry &amp; Construction Services</w:t>
      </w:r>
    </w:p>
    <w:p>
      <w:pPr>
        <w:pStyle w:val="BodyText"/>
      </w:pPr>
      <w:r>
        <w:rPr>
          <w:bCs/>
          <w:b/>
        </w:rPr>
        <w:t xml:space="preserve">Address:</w:t>
      </w:r>
      <w:r>
        <w:t xml:space="preserve"> </w:t>
      </w:r>
      <w:r>
        <w:t xml:space="preserve">14 Bweyogerere Street, Uganda Kampala</w:t>
      </w:r>
    </w:p>
    <w:p>
      <w:pPr>
        <w:pStyle w:val="BodyText"/>
      </w:pPr>
      <w:r>
        <w:rPr>
          <w:bCs/>
          <w:b/>
        </w:rPr>
        <w:t xml:space="preserve">TIN:</w:t>
      </w:r>
      <w:r>
        <w:t xml:space="preserve"> </w:t>
      </w:r>
      <w:r>
        <w:t xml:space="preserve">100987654-000012</w:t>
      </w:r>
    </w:p>
    <w:p>
      <w:pPr>
        <w:pStyle w:val="BodyText"/>
      </w:pPr>
      <w:r>
        <w:rPr>
          <w:bCs/>
          <w:b/>
        </w:rPr>
        <w:t xml:space="preserve">Contact:</w:t>
      </w:r>
      <w:r>
        <w:t xml:space="preserve"> </w:t>
      </w:r>
      <w:r>
        <w:t xml:space="preserve">+256-772-334-556</w:t>
      </w:r>
    </w:p>
    <w:bookmarkEnd w:id="22"/>
    <w:p>
      <w:pPr>
        <w:pStyle w:val="BodyText"/>
      </w:pPr>
      <w:r>
        <w:t xml:space="preserve">This</w:t>
      </w:r>
      <w:r>
        <w:t xml:space="preserve"> </w:t>
      </w:r>
      <w:r>
        <w:t xml:space="preserve">Purchase Order</w:t>
      </w:r>
      <w:r>
        <w:t xml:space="preserve"> </w:t>
      </w:r>
      <w:r>
        <w:t xml:space="preserve">is issued by Kampala Construction &amp; Development Limited (hereinafter referred to as "the Purchaser") to Okello Masonry &amp; Construction Services, represented by Mr. Samuel Okello (hereinafter referred to as "the Mason Contractor"), for the supply of masonry materials and execution of Mason work at the designated construction site located in Uganda Kampala. This document constitutes a binding agreement between both parties upon acceptance and signature.</w:t>
      </w:r>
    </w:p>
    <w:p>
      <w:pPr>
        <w:pStyle w:val="BodyText"/>
      </w:pPr>
      <w:r>
        <w:t xml:space="preserve">Scope of Mason Work and Materials</w:t>
      </w:r>
    </w:p>
    <w:p>
      <w:pPr>
        <w:pStyle w:val="BodyText"/>
      </w:pPr>
      <w:r>
        <w:t xml:space="preserve">The Mason Contractor shall be responsible for all masonry-related activities including but not limited to block laying, brickwork, plastering, and structural Mason work as specified below. All materials must meet the standards set by the Uganda National Bureau of Standards (UNBS) and comply with local building regulations enforced by the Kampala Capital City Authority (KCCA) in Uganda Kampala.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(UGX)</w:t>
            </w:r>
          </w:p>
        </w:tc>
        <w:tc>
          <w:tcPr/>
          <w:p>
            <w:pPr>
              <w:pStyle w:val="Compact"/>
              <w:jc w:val="left"/>
            </w:pPr>
            <w:r>
              <w:t xml:space="preserve">Total (UGX)</w:t>
            </w:r>
          </w:p>
        </w:tc>
      </w:tr>
      <w:tr>
        <w:tc>
          <w:tcPr/>
          <w:p>
            <w:pPr>
              <w:pStyle w:val="Compact"/>
              <w:jc w:val="left"/>
            </w:pPr>
            <w:r>
              <w:t xml:space="preserve">1</w:t>
            </w:r>
          </w:p>
        </w:tc>
        <w:tc>
          <w:tcPr/>
          <w:p>
            <w:pPr>
              <w:pStyle w:val="Compact"/>
              <w:jc w:val="left"/>
            </w:pPr>
            <w:r>
              <w:t xml:space="preserve">75mm Hollow Concrete Blocks (UNBS certified)</w:t>
            </w:r>
          </w:p>
        </w:tc>
        <w:tc>
          <w:tcPr/>
          <w:p>
            <w:pPr>
              <w:pStyle w:val="Compact"/>
              <w:jc w:val="left"/>
            </w:pPr>
            <w:r>
              <w:t xml:space="preserve">12,500</w:t>
            </w:r>
          </w:p>
        </w:tc>
        <w:tc>
          <w:tcPr/>
          <w:p>
            <w:pPr>
              <w:pStyle w:val="Compact"/>
              <w:jc w:val="left"/>
            </w:pPr>
            <w:r>
              <w:t xml:space="preserve">pcs</w:t>
            </w:r>
          </w:p>
        </w:tc>
        <w:tc>
          <w:tcPr/>
          <w:p>
            <w:pPr>
              <w:pStyle w:val="Compact"/>
              <w:jc w:val="left"/>
            </w:pPr>
            <w:r>
              <w:t xml:space="preserve">4,200</w:t>
            </w:r>
          </w:p>
        </w:tc>
        <w:tc>
          <w:tcPr/>
          <w:p>
            <w:pPr>
              <w:pStyle w:val="Compact"/>
              <w:jc w:val="left"/>
            </w:pPr>
            <w:r>
              <w:t xml:space="preserve">52,500,000</w:t>
            </w:r>
          </w:p>
        </w:tc>
      </w:tr>
      <w:tr>
        <w:tc>
          <w:tcPr/>
          <w:p>
            <w:pPr>
              <w:pStyle w:val="Compact"/>
              <w:jc w:val="left"/>
            </w:pPr>
            <w:r>
              <w:t xml:space="preserve">2</w:t>
            </w:r>
          </w:p>
        </w:tc>
        <w:tc>
          <w:tcPr/>
          <w:p>
            <w:pPr>
              <w:pStyle w:val="Compact"/>
              <w:jc w:val="left"/>
            </w:pPr>
            <w:r>
              <w:t xml:space="preserve">Portland Cement (50kg bags, Hima Cement)</w:t>
            </w:r>
          </w:p>
        </w:tc>
        <w:tc>
          <w:tcPr/>
          <w:p>
            <w:pPr>
              <w:pStyle w:val="Compact"/>
              <w:jc w:val="left"/>
            </w:pPr>
            <w:r>
              <w:t xml:space="preserve">850</w:t>
            </w:r>
          </w:p>
        </w:tc>
        <w:tc>
          <w:tcPr/>
          <w:p>
            <w:pPr>
              <w:pStyle w:val="Compact"/>
              <w:jc w:val="left"/>
            </w:pPr>
            <w:r>
              <w:t xml:space="preserve">bags</w:t>
            </w:r>
          </w:p>
        </w:tc>
        <w:tc>
          <w:tcPr/>
          <w:p>
            <w:pPr>
              <w:pStyle w:val="Compact"/>
              <w:jc w:val="left"/>
            </w:pPr>
            <w:r>
              <w:t xml:space="preserve">68,000</w:t>
            </w:r>
          </w:p>
        </w:tc>
        <w:tc>
          <w:tcPr/>
          <w:p>
            <w:pPr>
              <w:pStyle w:val="Compact"/>
              <w:jc w:val="left"/>
            </w:pPr>
            <w:r>
              <w:t xml:space="preserve">57,800,000</w:t>
            </w:r>
          </w:p>
        </w:tc>
      </w:tr>
      <w:tr>
        <w:tc>
          <w:tcPr/>
          <w:p>
            <w:pPr>
              <w:pStyle w:val="Compact"/>
              <w:jc w:val="left"/>
            </w:pPr>
            <w:r>
              <w:t xml:space="preserve">3</w:t>
            </w:r>
          </w:p>
        </w:tc>
        <w:tc>
          <w:tcPr/>
          <w:p>
            <w:pPr>
              <w:pStyle w:val="Compact"/>
              <w:jc w:val="left"/>
            </w:pPr>
            <w:r>
              <w:t xml:space="preserve">Sharp Sand (for Mason mortar and plastering)</w:t>
            </w:r>
          </w:p>
        </w:tc>
        <w:tc>
          <w:tcPr/>
          <w:p>
            <w:pPr>
              <w:pStyle w:val="Compact"/>
              <w:jc w:val="left"/>
            </w:pPr>
            <w:r>
              <w:t xml:space="preserve">45</w:t>
            </w:r>
          </w:p>
        </w:tc>
        <w:tc>
          <w:tcPr/>
          <w:p>
            <w:pPr>
              <w:pStyle w:val="Compact"/>
              <w:jc w:val="left"/>
            </w:pPr>
            <w:r>
              <w:t xml:space="preserve">tonnes</w:t>
            </w:r>
          </w:p>
        </w:tc>
        <w:tc>
          <w:tcPr/>
          <w:p>
            <w:pPr>
              <w:pStyle w:val="Compact"/>
              <w:jc w:val="left"/>
            </w:pPr>
            <w:r>
              <w:t xml:space="preserve">185,000</w:t>
            </w:r>
          </w:p>
        </w:tc>
        <w:tc>
          <w:tcPr/>
          <w:p>
            <w:pPr>
              <w:pStyle w:val="Compact"/>
              <w:jc w:val="left"/>
            </w:pPr>
            <w:r>
              <w:t xml:space="preserve">8,325,000</w:t>
            </w:r>
          </w:p>
        </w:tc>
      </w:tr>
      <w:tr>
        <w:tc>
          <w:tcPr/>
          <w:p>
            <w:pPr>
              <w:pStyle w:val="Compact"/>
              <w:jc w:val="left"/>
            </w:pPr>
            <w:r>
              <w:t xml:space="preserve">4</w:t>
            </w:r>
          </w:p>
        </w:tc>
        <w:tc>
          <w:tcPr/>
          <w:p>
            <w:pPr>
              <w:pStyle w:val="Compact"/>
              <w:jc w:val="left"/>
            </w:pPr>
            <w:r>
              <w:t xml:space="preserve">Ballast / Crushed Stone (10mm aggregate)</w:t>
            </w:r>
          </w:p>
        </w:tc>
        <w:tc>
          <w:tcPr/>
          <w:p>
            <w:pPr>
              <w:pStyle w:val="Compact"/>
              <w:jc w:val="left"/>
            </w:pPr>
            <w:r>
              <w:t xml:space="preserve">30</w:t>
            </w:r>
          </w:p>
        </w:tc>
        <w:tc>
          <w:tcPr/>
          <w:p>
            <w:pPr>
              <w:pStyle w:val="Compact"/>
              <w:jc w:val="left"/>
            </w:pPr>
            <w:r>
              <w:t xml:space="preserve">tonnes</w:t>
            </w:r>
          </w:p>
        </w:tc>
        <w:tc>
          <w:tcPr/>
          <w:p>
            <w:pPr>
              <w:pStyle w:val="Compact"/>
              <w:jc w:val="left"/>
            </w:pPr>
            <w:r>
              <w:t xml:space="preserve">210,000</w:t>
            </w:r>
          </w:p>
        </w:tc>
        <w:tc>
          <w:tcPr/>
          <w:p>
            <w:pPr>
              <w:pStyle w:val="Compact"/>
              <w:jc w:val="left"/>
            </w:pPr>
            <w:r>
              <w:t xml:space="preserve">6,300,000</w:t>
            </w:r>
          </w:p>
        </w:tc>
      </w:tr>
      <w:tr>
        <w:tc>
          <w:tcPr/>
          <w:p>
            <w:pPr>
              <w:pStyle w:val="Compact"/>
              <w:jc w:val="left"/>
            </w:pPr>
            <w:r>
              <w:t xml:space="preserve">5</w:t>
            </w:r>
          </w:p>
        </w:tc>
        <w:tc>
          <w:tcPr/>
          <w:p>
            <w:pPr>
              <w:pStyle w:val="Compact"/>
              <w:jc w:val="left"/>
            </w:pPr>
            <w:r>
              <w:t xml:space="preserve">Wire Mesh (for plaster reinforcement)</w:t>
            </w:r>
          </w:p>
        </w:tc>
        <w:tc>
          <w:tcPr/>
          <w:p>
            <w:pPr>
              <w:pStyle w:val="Compact"/>
              <w:jc w:val="left"/>
            </w:pPr>
            <w:r>
              <w:t xml:space="preserve">2,400</w:t>
            </w:r>
          </w:p>
        </w:tc>
        <w:tc>
          <w:tcPr/>
          <w:p>
            <w:pPr>
              <w:pStyle w:val="Compact"/>
              <w:jc w:val="left"/>
            </w:pPr>
            <w:r>
              <w:t xml:space="preserve">m²</w:t>
            </w:r>
          </w:p>
        </w:tc>
        <w:tc>
          <w:tcPr/>
          <w:p>
            <w:pPr>
              <w:pStyle w:val="Compact"/>
              <w:jc w:val="left"/>
            </w:pPr>
            <w:r>
              <w:t xml:space="preserve">12,500</w:t>
            </w:r>
          </w:p>
        </w:tc>
        <w:tc>
          <w:tcPr/>
          <w:p>
            <w:pPr>
              <w:pStyle w:val="Compact"/>
              <w:jc w:val="left"/>
            </w:pPr>
            <w:r>
              <w:t xml:space="preserve">30,000,000</w:t>
            </w:r>
          </w:p>
        </w:tc>
      </w:tr>
      <w:tr>
        <w:tc>
          <w:tcPr/>
          <w:p>
            <w:pPr>
              <w:pStyle w:val="Compact"/>
              <w:jc w:val="left"/>
            </w:pPr>
            <w:r>
              <w:t xml:space="preserve">6</w:t>
            </w:r>
          </w:p>
        </w:tc>
        <w:tc>
          <w:tcPr/>
          <w:p>
            <w:pPr>
              <w:pStyle w:val="Compact"/>
              <w:jc w:val="left"/>
            </w:pPr>
            <w:r>
              <w:t xml:space="preserve">Waterproofing Membrane (for Mason foundation)</w:t>
            </w:r>
          </w:p>
        </w:tc>
        <w:tc>
          <w:tcPr/>
          <w:p>
            <w:pPr>
              <w:pStyle w:val="Compact"/>
              <w:jc w:val="left"/>
            </w:pPr>
            <w:r>
              <w:t xml:space="preserve">1,800</w:t>
            </w:r>
          </w:p>
        </w:tc>
        <w:tc>
          <w:tcPr/>
          <w:p>
            <w:pPr>
              <w:pStyle w:val="Compact"/>
              <w:jc w:val="left"/>
            </w:pPr>
            <w:r>
              <w:t xml:space="preserve">m²</w:t>
            </w:r>
          </w:p>
        </w:tc>
        <w:tc>
          <w:tcPr/>
          <w:p>
            <w:pPr>
              <w:pStyle w:val="Compact"/>
              <w:jc w:val="left"/>
            </w:pPr>
            <w:r>
              <w:t xml:space="preserve">35,000</w:t>
            </w:r>
          </w:p>
        </w:tc>
        <w:tc>
          <w:tcPr/>
          <w:p>
            <w:pPr>
              <w:pStyle w:val="Compact"/>
              <w:jc w:val="left"/>
            </w:pPr>
            <w:r>
              <w:t xml:space="preserve">63,000,000</w:t>
            </w:r>
          </w:p>
        </w:tc>
      </w:tr>
      <w:tr>
        <w:tc>
          <w:tcPr/>
          <w:p>
            <w:pPr>
              <w:pStyle w:val="Compact"/>
              <w:jc w:val="left"/>
            </w:pPr>
            <w:r>
              <w:t xml:space="preserve">7</w:t>
            </w:r>
          </w:p>
        </w:tc>
        <w:tc>
          <w:tcPr/>
          <w:p>
            <w:pPr>
              <w:pStyle w:val="Compact"/>
              <w:jc w:val="left"/>
            </w:pPr>
            <w:r>
              <w:t xml:space="preserve">Labour – Mason and Assistants (skilled Mason work)</w:t>
            </w:r>
          </w:p>
        </w:tc>
        <w:tc>
          <w:tcPr/>
          <w:p>
            <w:pPr>
              <w:pStyle w:val="Compact"/>
              <w:jc w:val="left"/>
            </w:pPr>
            <w:r>
              <w:t xml:space="preserve">90</w:t>
            </w:r>
          </w:p>
        </w:tc>
        <w:tc>
          <w:tcPr/>
          <w:p>
            <w:pPr>
              <w:pStyle w:val="Compact"/>
              <w:jc w:val="left"/>
            </w:pPr>
            <w:r>
              <w:t xml:space="preserve">days</w:t>
            </w:r>
          </w:p>
        </w:tc>
        <w:tc>
          <w:tcPr/>
          <w:p>
            <w:pPr>
              <w:pStyle w:val="Compact"/>
              <w:jc w:val="left"/>
            </w:pPr>
            <w:r>
              <w:t xml:space="preserve">185,000</w:t>
            </w:r>
          </w:p>
        </w:tc>
        <w:tc>
          <w:tcPr/>
          <w:p>
            <w:pPr>
              <w:pStyle w:val="Compact"/>
              <w:jc w:val="left"/>
            </w:pPr>
            <w:r>
              <w:t xml:space="preserve">16,650,000</w:t>
            </w:r>
          </w:p>
        </w:tc>
      </w:tr>
      <w:tr>
        <w:tc>
          <w:tcPr/>
          <w:p>
            <w:pPr>
              <w:pStyle w:val="Compact"/>
              <w:jc w:val="left"/>
            </w:pPr>
            <w:r>
              <w:t xml:space="preserve">8</w:t>
            </w:r>
          </w:p>
        </w:tc>
        <w:tc>
          <w:tcPr/>
          <w:p>
            <w:pPr>
              <w:pStyle w:val="Compact"/>
              <w:jc w:val="left"/>
            </w:pPr>
            <w:r>
              <w:t xml:space="preserve">Plastering – Internal and External Walls</w:t>
            </w:r>
          </w:p>
        </w:tc>
        <w:tc>
          <w:tcPr/>
          <w:p>
            <w:pPr>
              <w:pStyle w:val="Compact"/>
              <w:jc w:val="left"/>
            </w:pPr>
            <w:r>
              <w:t xml:space="preserve">3,200</w:t>
            </w:r>
          </w:p>
        </w:tc>
        <w:tc>
          <w:tcPr/>
          <w:p>
            <w:pPr>
              <w:pStyle w:val="Compact"/>
              <w:jc w:val="left"/>
            </w:pPr>
            <w:r>
              <w:t xml:space="preserve">m²</w:t>
            </w:r>
          </w:p>
        </w:tc>
        <w:tc>
          <w:tcPr/>
          <w:p>
            <w:pPr>
              <w:pStyle w:val="Compact"/>
              <w:jc w:val="left"/>
            </w:pPr>
            <w:r>
              <w:t xml:space="preserve">28,000</w:t>
            </w:r>
          </w:p>
        </w:tc>
        <w:tc>
          <w:tcPr/>
          <w:p>
            <w:pPr>
              <w:pStyle w:val="Compact"/>
              <w:jc w:val="left"/>
            </w:pPr>
            <w:r>
              <w:t xml:space="preserve">89,600,000</w:t>
            </w:r>
          </w:p>
        </w:tc>
      </w:tr>
      <w:tr>
        <w:tc>
          <w:tcPr/>
          <w:p>
            <w:pPr>
              <w:pStyle w:val="Compact"/>
              <w:jc w:val="left"/>
            </w:pPr>
            <w:r>
              <w:t xml:space="preserve">9</w:t>
            </w:r>
          </w:p>
        </w:tc>
        <w:tc>
          <w:tcPr/>
          <w:p>
            <w:pPr>
              <w:pStyle w:val="Compact"/>
              <w:jc w:val="left"/>
            </w:pPr>
            <w:r>
              <w:t xml:space="preserve">Structural Mason Lintel and Lintel Beams</w:t>
            </w:r>
          </w:p>
        </w:tc>
        <w:tc>
          <w:tcPr/>
          <w:p>
            <w:pPr>
              <w:pStyle w:val="Compact"/>
              <w:jc w:val="left"/>
            </w:pPr>
            <w:r>
              <w:t xml:space="preserve">48</w:t>
            </w:r>
          </w:p>
        </w:tc>
        <w:tc>
          <w:tcPr/>
          <w:p>
            <w:pPr>
              <w:pStyle w:val="Compact"/>
              <w:jc w:val="left"/>
            </w:pPr>
            <w:r>
              <w:t xml:space="preserve">units</w:t>
            </w:r>
          </w:p>
        </w:tc>
        <w:tc>
          <w:tcPr/>
          <w:p>
            <w:pPr>
              <w:pStyle w:val="Compact"/>
              <w:jc w:val="left"/>
            </w:pPr>
            <w:r>
              <w:t xml:space="preserve">95,000</w:t>
            </w:r>
          </w:p>
        </w:tc>
        <w:tc>
          <w:tcPr/>
          <w:p>
            <w:pPr>
              <w:pStyle w:val="Compact"/>
              <w:jc w:val="left"/>
            </w:pPr>
            <w:r>
              <w:t xml:space="preserve">4,560,000</w:t>
            </w:r>
          </w:p>
        </w:tc>
      </w:tr>
      <w:tr>
        <w:tc>
          <w:tcPr/>
          <w:p>
            <w:pPr>
              <w:pStyle w:val="Compact"/>
              <w:jc w:val="left"/>
            </w:pPr>
            <w:r>
              <w:t xml:space="preserve">10</w:t>
            </w:r>
          </w:p>
        </w:tc>
        <w:tc>
          <w:tcPr/>
          <w:p>
            <w:pPr>
              <w:pStyle w:val="Compact"/>
              <w:jc w:val="left"/>
            </w:pPr>
            <w:r>
              <w:t xml:space="preserve">Site Supervision and Quality Assurance (Mason Inspector)</w:t>
            </w:r>
          </w:p>
        </w:tc>
        <w:tc>
          <w:tcPr/>
          <w:p>
            <w:pPr>
              <w:pStyle w:val="Compact"/>
              <w:jc w:val="left"/>
            </w:pPr>
            <w:r>
              <w:t xml:space="preserve">30</w:t>
            </w:r>
          </w:p>
        </w:tc>
        <w:tc>
          <w:tcPr/>
          <w:p>
            <w:pPr>
              <w:pStyle w:val="Compact"/>
              <w:jc w:val="left"/>
            </w:pPr>
            <w:r>
              <w:t xml:space="preserve">days</w:t>
            </w:r>
          </w:p>
        </w:tc>
        <w:tc>
          <w:tcPr/>
          <w:p>
            <w:pPr>
              <w:pStyle w:val="Compact"/>
              <w:jc w:val="left"/>
            </w:pPr>
            <w:r>
              <w:t xml:space="preserve">250,000</w:t>
            </w:r>
          </w:p>
        </w:tc>
        <w:tc>
          <w:tcPr/>
          <w:p>
            <w:pPr>
              <w:pStyle w:val="Compact"/>
              <w:jc w:val="left"/>
            </w:pPr>
            <w:r>
              <w:t xml:space="preserve">7,500,000</w:t>
            </w:r>
          </w:p>
        </w:tc>
      </w:tr>
      <w:tr>
        <w:tc>
          <w:tcPr>
            <w:gridSpan w:val="5"/>
          </w:tcPr>
          <w:p>
            <w:pPr>
              <w:pStyle w:val="Compact"/>
              <w:jc w:val="right"/>
            </w:pPr>
            <w:r>
              <w:t xml:space="preserve">SUBTOTAL</w:t>
            </w:r>
          </w:p>
        </w:tc>
        <w:tc>
          <w:tcPr/>
          <w:p>
            <w:pPr>
              <w:pStyle w:val="Compact"/>
              <w:jc w:val="left"/>
            </w:pPr>
            <w:r>
              <w:t xml:space="preserve">436,235,000</w:t>
            </w:r>
          </w:p>
        </w:tc>
      </w:tr>
      <w:tr>
        <w:tc>
          <w:tcPr>
            <w:gridSpan w:val="5"/>
          </w:tcPr>
          <w:p>
            <w:pPr>
              <w:pStyle w:val="Compact"/>
              <w:jc w:val="right"/>
            </w:pPr>
            <w:r>
              <w:t xml:space="preserve">VAT (18%)</w:t>
            </w:r>
          </w:p>
        </w:tc>
        <w:tc>
          <w:tcPr/>
          <w:p>
            <w:pPr>
              <w:pStyle w:val="Compact"/>
              <w:jc w:val="left"/>
            </w:pPr>
            <w:r>
              <w:t xml:space="preserve">78,522,300</w:t>
            </w:r>
          </w:p>
        </w:tc>
      </w:tr>
      <w:tr>
        <w:tc>
          <w:tcPr>
            <w:gridSpan w:val="5"/>
          </w:tcPr>
          <w:p>
            <w:pPr>
              <w:pStyle w:val="Compact"/>
              <w:jc w:val="right"/>
            </w:pPr>
            <w:r>
              <w:t xml:space="preserve">GRAND TOTAL (UGX)</w:t>
            </w:r>
          </w:p>
        </w:tc>
        <w:tc>
          <w:tcPr/>
          <w:p>
            <w:pPr>
              <w:pStyle w:val="Compact"/>
              <w:jc w:val="left"/>
            </w:pPr>
            <w:r>
              <w:t xml:space="preserve">514,757,300</w:t>
            </w:r>
          </w:p>
        </w:tc>
      </w:tr>
    </w:tbl>
    <w:p>
      <w:pPr>
        <w:pStyle w:val="BodyText"/>
      </w:pPr>
      <w:r>
        <w:t xml:space="preserve">Terms and Conditions of this Purchase Order</w:t>
      </w:r>
    </w:p>
    <w:p>
      <w:pPr>
        <w:pStyle w:val="BodyText"/>
      </w:pPr>
      <w:r>
        <w:rPr>
          <w:bCs/>
          <w:b/>
        </w:rPr>
        <w:t xml:space="preserve">1. Delivery and Commencement:</w:t>
      </w:r>
      <w:r>
        <w:t xml:space="preserve"> </w:t>
      </w:r>
      <w:r>
        <w:t xml:space="preserve">The Mason Contractor shall commence all Mason work at the project site in Uganda Kampala no later than 20 June 2025. All materials listed in this Purchase Order must be delivered to the site in Ntinda, Uganda Kampala, within fourteen (14) calendar days of the issue date of this document.</w:t>
      </w:r>
    </w:p>
    <w:p>
      <w:pPr>
        <w:pStyle w:val="BodyText"/>
      </w:pPr>
      <w:r>
        <w:rPr>
          <w:bCs/>
          <w:b/>
        </w:rPr>
        <w:t xml:space="preserve">2. Payment Terms:</w:t>
      </w:r>
      <w:r>
        <w:t xml:space="preserve"> </w:t>
      </w:r>
      <w:r>
        <w:t xml:space="preserve">Payment shall be made in three (3) tranches: 30% upon acceptance of this Purchase Order and delivery of materials to site; 40% upon completion of all structural Mason blockwork and lintel installation; and 30% upon final inspection, sign-off, and completion of all plastering work. Payments shall be made via bank transfer to the account specified by the Mason Contractor.</w:t>
      </w:r>
    </w:p>
    <w:p>
      <w:pPr>
        <w:pStyle w:val="BodyText"/>
      </w:pPr>
      <w:r>
        <w:rPr>
          <w:bCs/>
          <w:b/>
        </w:rPr>
        <w:t xml:space="preserve">3. Quality Standards:</w:t>
      </w:r>
      <w:r>
        <w:t xml:space="preserve"> </w:t>
      </w:r>
      <w:r>
        <w:t xml:space="preserve">All Mason work must conform to the Uganda National Building Regulations and UNBS standards. The Purchaser reserves the right to reject any Mason work that does not meet the agreed specifications. The Mason Contractor shall rectify any defective work at no additional cost within five (5) working days of notification.</w:t>
      </w:r>
    </w:p>
    <w:p>
      <w:pPr>
        <w:pStyle w:val="BodyText"/>
      </w:pPr>
      <w:r>
        <w:rPr>
          <w:bCs/>
          <w:b/>
        </w:rPr>
        <w:t xml:space="preserve">4. Insurance and Liability:</w:t>
      </w:r>
      <w:r>
        <w:t xml:space="preserve"> </w:t>
      </w:r>
      <w:r>
        <w:t xml:space="preserve">The Mason Contractor shall maintain comprehensive public liability insurance and workers' compensation coverage for all personnel engaged in Mason activities on the Uganda Kampala site for the duration of the project. The Mason Contractor assumes full responsibility for the safety of all workers and third parties on site.</w:t>
      </w:r>
    </w:p>
    <w:p>
      <w:pPr>
        <w:pStyle w:val="BodyText"/>
      </w:pPr>
      <w:r>
        <w:rPr>
          <w:bCs/>
          <w:b/>
        </w:rPr>
        <w:t xml:space="preserve">5. Delays and Penalties:</w:t>
      </w:r>
      <w:r>
        <w:t xml:space="preserve"> </w:t>
      </w:r>
      <w:r>
        <w:t xml:space="preserve">In the event that the Mason Contractor fails to complete the work by the stipulated completion date of 30 August 2025, a penalty of 0.5% of the total Purchase Order value per day of delay shall be deducted from the final payment, up to a maximum of 10% of the total contract value.</w:t>
      </w:r>
    </w:p>
    <w:p>
      <w:pPr>
        <w:pStyle w:val="BodyText"/>
      </w:pPr>
      <w:r>
        <w:rPr>
          <w:bCs/>
          <w:b/>
        </w:rPr>
        <w:t xml:space="preserve">6. Governing Law:</w:t>
      </w:r>
      <w:r>
        <w:t xml:space="preserve"> </w:t>
      </w:r>
      <w:r>
        <w:t xml:space="preserve">This Purchase Order shall be governed by and construed in accordance with the laws of the Republic of Uganda. Any disputes arising from this Purchase Order shall be resolved through arbitration in Uganda Kampala in accordance with the Arbitration Act, 2000 of Uganda.</w:t>
      </w:r>
    </w:p>
    <w:p>
      <w:pPr>
        <w:pStyle w:val="BodyText"/>
      </w:pPr>
      <w:r>
        <w:rPr>
          <w:bCs/>
          <w:b/>
        </w:rPr>
        <w:t xml:space="preserve">7. Validity:</w:t>
      </w:r>
      <w:r>
        <w:t xml:space="preserve"> </w:t>
      </w:r>
      <w:r>
        <w:t xml:space="preserve">This Purchase Order is valid for thirty (30) days from the date of issue. If not accepted within this period, the Purchaser reserves the right to issue a revised Purchase Order or award the Mason contract to an alternative contractor.</w:t>
      </w:r>
    </w:p>
    <w:p>
      <w:pPr>
        <w:pStyle w:val="BodyText"/>
      </w:pPr>
      <w:r>
        <w:rPr>
          <w:bCs/>
          <w:b/>
        </w:rPr>
        <w:t xml:space="preserve">8. Force Majeure:</w:t>
      </w:r>
      <w:r>
        <w:t xml:space="preserve"> </w:t>
      </w:r>
      <w:r>
        <w:t xml:space="preserve">Neither party shall be liable for delays caused by events beyond reasonable control, including but not limited to natural disasters, government-imposed restrictions in Uganda Kampala, or civil unrest, provided that the affected party notifies the other in writing within 48 hours.</w:t>
      </w:r>
    </w:p>
    <w:p>
      <w:pPr>
        <w:pStyle w:val="BodyText"/>
      </w:pPr>
      <w:r>
        <w:t xml:space="preserve">Acceptance and Authorization</w:t>
      </w:r>
    </w:p>
    <w:p>
      <w:pPr>
        <w:pStyle w:val="BodyText"/>
      </w:pPr>
      <w:r>
        <w:t xml:space="preserve">By signing below, both parties acknowledge and agree to all terms, conditions, and specifications outlined in this Purchase Order for Mason services in Uganda Kampala. This document, once signed, serves as the definitive record of the commercial agreement between the Purchaser and the Mason Contractor.</w:t>
      </w:r>
    </w:p>
    <w:p>
      <w:pPr>
        <w:pStyle w:val="BodyText"/>
      </w:pPr>
      <w:r>
        <w:rPr>
          <w:bCs/>
          <w:b/>
        </w:rPr>
        <w:t xml:space="preserve">For and on behalf of the Purchaser:</w:t>
      </w:r>
    </w:p>
    <w:p>
      <w:pPr>
        <w:pStyle w:val="BodyText"/>
      </w:pPr>
      <w:r>
        <w:t xml:space="preserve">Kampala Construction &amp; Development Limited</w:t>
      </w:r>
    </w:p>
    <w:p>
      <w:pPr>
        <w:pStyle w:val="BodyText"/>
      </w:pPr>
      <w:r>
        <w:t xml:space="preserve">Name: ______________________________</w:t>
      </w:r>
    </w:p>
    <w:p>
      <w:pPr>
        <w:pStyle w:val="BodyText"/>
      </w:pPr>
      <w:r>
        <w:t xml:space="preserve">Title: Procurement Manager</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and on behalf of the Mason Contractor:</w:t>
      </w:r>
    </w:p>
    <w:p>
      <w:pPr>
        <w:pStyle w:val="BodyText"/>
      </w:pPr>
      <w:r>
        <w:t xml:space="preserve">Okello Masonry &amp; Construction Services</w:t>
      </w:r>
    </w:p>
    <w:p>
      <w:pPr>
        <w:pStyle w:val="BodyText"/>
      </w:pPr>
      <w:r>
        <w:t xml:space="preserve">Name: Mr. Samuel Okello</w:t>
      </w:r>
    </w:p>
    <w:p>
      <w:pPr>
        <w:pStyle w:val="BodyText"/>
      </w:pPr>
      <w:r>
        <w:t xml:space="preserve">Title: Master Mason / Proprietor</w:t>
      </w:r>
    </w:p>
    <w:p>
      <w:pPr>
        <w:pStyle w:val="BodyText"/>
      </w:pPr>
      <w:r>
        <w:t xml:space="preserve">Signature: ______________________________</w:t>
      </w:r>
    </w:p>
    <w:p>
      <w:pPr>
        <w:pStyle w:val="BodyText"/>
      </w:pPr>
      <w:r>
        <w:t xml:space="preserve">Date: ______________________________</w:t>
      </w:r>
    </w:p>
    <w:p>
      <w:pPr>
        <w:pStyle w:val="BodyText"/>
      </w:pPr>
      <w:r>
        <w:t xml:space="preserve">This Purchase Order (PO-UK-2025-00472) is issued for Mason services at the Ntinda project site, Uganda Kampala. All communications regarding this Purchase Order should reference the PO number above. Kampala Construction &amp; Development Limited – Building Excellence in Uganda Kampala Since 2019.</w:t>
      </w:r>
    </w:p>
    <w:p>
      <w:pPr>
        <w:pStyle w:val="BodyText"/>
      </w:pPr>
      <w:r>
        <w:t xml:space="preserve">Page 1 of 1 | Confidential – For Authorized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Mason Services - Uganda Kampala</dc:title>
  <dc:creator/>
  <dc:language>en</dc:language>
  <cp:keywords/>
  <dcterms:created xsi:type="dcterms:W3CDTF">2026-10-10T02:22:38Z</dcterms:created>
  <dcterms:modified xsi:type="dcterms:W3CDTF">2026-10-10T02:22:38Z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