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Masonry Services &amp; Materials Procurement — United Arab Emirates Dubai</w:t>
      </w:r>
    </w:p>
    <w:bookmarkEnd w:id="20"/>
    <w:p>
      <w:pPr>
        <w:pStyle w:val="BodyText"/>
      </w:pPr>
      <w:r>
        <w:t xml:space="preserve">Purchase Order No.</w:t>
      </w:r>
    </w:p>
    <w:p>
      <w:pPr>
        <w:pStyle w:val="BodyText"/>
      </w:pPr>
      <w:r>
        <w:t xml:space="preserve">PO-UAE-DXB-2025-04872</w:t>
      </w:r>
    </w:p>
    <w:p>
      <w:pPr>
        <w:pStyle w:val="BodyText"/>
      </w:pPr>
      <w:r>
        <w:t xml:space="preserve">Date of Issue</w:t>
      </w:r>
    </w:p>
    <w:p>
      <w:pPr>
        <w:pStyle w:val="BodyText"/>
      </w:pPr>
      <w:r>
        <w:t xml:space="preserve">14 June 2025</w:t>
      </w:r>
    </w:p>
    <w:p>
      <w:pPr>
        <w:pStyle w:val="BodyText"/>
      </w:pPr>
      <w:r>
        <w:t xml:space="preserve">Required Delivery Date</w:t>
      </w:r>
    </w:p>
    <w:p>
      <w:pPr>
        <w:pStyle w:val="BodyText"/>
      </w:pPr>
      <w:r>
        <w:t xml:space="preserve">01 August 2025</w:t>
      </w:r>
    </w:p>
    <w:p>
      <w:pPr>
        <w:pStyle w:val="BodyText"/>
      </w:pPr>
      <w:r>
        <w:t xml:space="preserve">Project Location</w:t>
      </w:r>
    </w:p>
    <w:p>
      <w:pPr>
        <w:pStyle w:val="BodyText"/>
      </w:pPr>
      <w:r>
        <w:t xml:space="preserve">United Arab Emirates Dubai</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Horizon Construction &amp; Development LLC</w:t>
            </w:r>
          </w:p>
        </w:tc>
        <w:tc>
          <w:tcPr/>
          <w:p>
            <w:pPr>
              <w:pStyle w:val="Compact"/>
              <w:jc w:val="left"/>
            </w:pPr>
            <w:r>
              <w:rPr>
                <w:bCs/>
                <w:b/>
              </w:rPr>
              <w:t xml:space="preserve">Trade License No.:</w:t>
            </w:r>
            <w:r>
              <w:t xml:space="preserve"> </w:t>
            </w:r>
            <w:r>
              <w:t xml:space="preserve">104872935</w:t>
            </w:r>
          </w:p>
        </w:tc>
      </w:tr>
      <w:tr>
        <w:tc>
          <w:tcPr/>
          <w:p>
            <w:pPr>
              <w:pStyle w:val="Compact"/>
              <w:jc w:val="left"/>
            </w:pPr>
            <w:r>
              <w:rPr>
                <w:bCs/>
                <w:b/>
              </w:rPr>
              <w:t xml:space="preserve">Address:</w:t>
            </w:r>
            <w:r>
              <w:t xml:space="preserve"> </w:t>
            </w:r>
            <w:r>
              <w:t xml:space="preserve">Office 1204, Level 12, Marina Plaza, Dubai Marina, United Arab Emirates Dubai</w:t>
            </w:r>
          </w:p>
        </w:tc>
        <w:tc>
          <w:tcPr/>
          <w:p>
            <w:pPr>
              <w:pStyle w:val="Compact"/>
              <w:jc w:val="left"/>
            </w:pPr>
            <w:r>
              <w:rPr>
                <w:bCs/>
                <w:b/>
              </w:rPr>
              <w:t xml:space="preserve">VAT No.:</w:t>
            </w:r>
            <w:r>
              <w:t xml:space="preserve"> </w:t>
            </w:r>
            <w:r>
              <w:t xml:space="preserve">100487293500003</w:t>
            </w:r>
          </w:p>
        </w:tc>
      </w:tr>
      <w:tr>
        <w:tc>
          <w:tcPr/>
          <w:p>
            <w:pPr>
              <w:pStyle w:val="Compact"/>
              <w:jc w:val="left"/>
            </w:pPr>
            <w:r>
              <w:rPr>
                <w:bCs/>
                <w:b/>
              </w:rPr>
              <w:t xml:space="preserve">Contact Person:</w:t>
            </w:r>
            <w:r>
              <w:t xml:space="preserve"> </w:t>
            </w:r>
            <w:r>
              <w:t xml:space="preserve">Eng. Khalid Al Mansoori, Project Director</w:t>
            </w:r>
          </w:p>
        </w:tc>
        <w:tc>
          <w:tcPr/>
          <w:p>
            <w:pPr>
              <w:pStyle w:val="Compact"/>
              <w:jc w:val="left"/>
            </w:pPr>
            <w:r>
              <w:rPr>
                <w:bCs/>
                <w:b/>
              </w:rPr>
              <w:t xml:space="preserve">Phone:</w:t>
            </w:r>
            <w:r>
              <w:t xml:space="preserve"> </w:t>
            </w:r>
            <w:r>
              <w:t xml:space="preserve">+971 4 555 8821</w:t>
            </w:r>
          </w:p>
        </w:tc>
      </w:tr>
      <w:tr>
        <w:tc>
          <w:tcPr/>
          <w:p>
            <w:pPr>
              <w:pStyle w:val="Compact"/>
              <w:jc w:val="left"/>
            </w:pPr>
            <w:r>
              <w:rPr>
                <w:bCs/>
                <w:b/>
              </w:rPr>
              <w:t xml:space="preserve">Email:</w:t>
            </w:r>
            <w:r>
              <w:t xml:space="preserve"> </w:t>
            </w:r>
            <w:r>
              <w:t xml:space="preserve">procurement@gulhorizon.ae</w:t>
            </w:r>
          </w:p>
        </w:tc>
        <w:tc>
          <w:tcPr/>
          <w:p>
            <w:pPr>
              <w:pStyle w:val="Compact"/>
              <w:jc w:val="left"/>
            </w:pPr>
            <w:r>
              <w:rPr>
                <w:bCs/>
                <w:b/>
              </w:rPr>
              <w:t xml:space="preserve">Payment Terms:</w:t>
            </w:r>
            <w:r>
              <w:t xml:space="preserve"> </w:t>
            </w:r>
            <w:r>
              <w:t xml:space="preserve">Net 30 days from invoice date</w:t>
            </w:r>
          </w:p>
        </w:tc>
      </w:tr>
    </w:tbl>
    <w:p>
      <w:pPr>
        <w:pStyle w:val="BodyText"/>
      </w:pPr>
      <w:r>
        <w:t xml:space="preserve">2. Supplier / Service Provider (Mason Contractor)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Noor Mason &amp; Stoneworks FZE</w:t>
            </w:r>
          </w:p>
        </w:tc>
        <w:tc>
          <w:tcPr/>
          <w:p>
            <w:pPr>
              <w:pStyle w:val="Compact"/>
              <w:jc w:val="left"/>
            </w:pPr>
            <w:r>
              <w:rPr>
                <w:bCs/>
                <w:b/>
              </w:rPr>
              <w:t xml:space="preserve">Trade License No.:</w:t>
            </w:r>
            <w:r>
              <w:t xml:space="preserve"> </w:t>
            </w:r>
            <w:r>
              <w:t xml:space="preserve">209384716</w:t>
            </w:r>
          </w:p>
        </w:tc>
      </w:tr>
      <w:tr>
        <w:tc>
          <w:tcPr/>
          <w:p>
            <w:pPr>
              <w:pStyle w:val="Compact"/>
              <w:jc w:val="left"/>
            </w:pPr>
            <w:r>
              <w:rPr>
                <w:bCs/>
                <w:b/>
              </w:rPr>
              <w:t xml:space="preserve">Address:</w:t>
            </w:r>
            <w:r>
              <w:t xml:space="preserve"> </w:t>
            </w:r>
            <w:r>
              <w:t xml:space="preserve">Warehouse 7, Industrial Area 3, Al Quoz, United Arab Emirates Dubai</w:t>
            </w:r>
          </w:p>
        </w:tc>
        <w:tc>
          <w:tcPr/>
          <w:p>
            <w:pPr>
              <w:pStyle w:val="Compact"/>
              <w:jc w:val="left"/>
            </w:pPr>
            <w:r>
              <w:rPr>
                <w:bCs/>
                <w:b/>
              </w:rPr>
              <w:t xml:space="preserve">VAT No.:</w:t>
            </w:r>
            <w:r>
              <w:t xml:space="preserve"> </w:t>
            </w:r>
            <w:r>
              <w:t xml:space="preserve">100938471600003</w:t>
            </w:r>
          </w:p>
        </w:tc>
      </w:tr>
      <w:tr>
        <w:tc>
          <w:tcPr/>
          <w:p>
            <w:pPr>
              <w:pStyle w:val="Compact"/>
              <w:jc w:val="left"/>
            </w:pPr>
            <w:r>
              <w:rPr>
                <w:bCs/>
                <w:b/>
              </w:rPr>
              <w:t xml:space="preserve">Contact Person:</w:t>
            </w:r>
            <w:r>
              <w:t xml:space="preserve"> </w:t>
            </w:r>
            <w:r>
              <w:t xml:space="preserve">Mr. Rajesh Kumar, Head Mason &amp; Site Supervisor</w:t>
            </w:r>
          </w:p>
        </w:tc>
        <w:tc>
          <w:tcPr/>
          <w:p>
            <w:pPr>
              <w:pStyle w:val="Compact"/>
              <w:jc w:val="left"/>
            </w:pPr>
            <w:r>
              <w:rPr>
                <w:bCs/>
                <w:b/>
              </w:rPr>
              <w:t xml:space="preserve">Phone:</w:t>
            </w:r>
            <w:r>
              <w:t xml:space="preserve"> </w:t>
            </w:r>
            <w:r>
              <w:t xml:space="preserve">+971 50 774 3319</w:t>
            </w:r>
          </w:p>
        </w:tc>
      </w:tr>
      <w:tr>
        <w:tc>
          <w:tcPr/>
          <w:p>
            <w:pPr>
              <w:pStyle w:val="Compact"/>
              <w:jc w:val="left"/>
            </w:pPr>
            <w:r>
              <w:rPr>
                <w:bCs/>
                <w:b/>
              </w:rPr>
              <w:t xml:space="preserve">Email:</w:t>
            </w:r>
            <w:r>
              <w:t xml:space="preserve"> </w:t>
            </w:r>
            <w:r>
              <w:t xml:space="preserve">mason@alnoorstoneworks.ae</w:t>
            </w:r>
          </w:p>
        </w:tc>
        <w:tc>
          <w:tcPr/>
          <w:p>
            <w:pPr>
              <w:pStyle w:val="Compact"/>
              <w:jc w:val="left"/>
            </w:pPr>
            <w:r>
              <w:rPr>
                <w:bCs/>
                <w:b/>
              </w:rPr>
              <w:t xml:space="preserve">Specialization:</w:t>
            </w:r>
            <w:r>
              <w:t xml:space="preserve"> </w:t>
            </w:r>
            <w:r>
              <w:t xml:space="preserve">Mason, stonemasonry, bricklaying, and decorative stone installation</w:t>
            </w:r>
          </w:p>
        </w:tc>
      </w:tr>
    </w:tbl>
    <w:p>
      <w:pPr>
        <w:pStyle w:val="BodyText"/>
      </w:pPr>
      <w:r>
        <w:t xml:space="preserve">3. Scope of Work &amp; Itemized Purchase Order Details</w:t>
      </w:r>
    </w:p>
    <w:p>
      <w:pPr>
        <w:pStyle w:val="BodyText"/>
      </w:pPr>
      <w:r>
        <w:t xml:space="preserve">This Purchase Order is issued by Gulf Horizon Construction &amp; Development LLC to Al Noor Mason &amp; Stoneworks FZE for the provision of skilled Mason labor, masonry materials, and related services for the construction of the Al Wasl Residential Tower, Phase II, located in the Jumeirah Village Circle district of United Arab Emirates Dubai. The Mason contractor shall be responsible for all masonry works including but not limited to load-bearing brickwork, decorative stone cladding, interior partition walls, and external facade finishing as per the approved architectural drawings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Skilled Mason labor – load-bearing brickwork (20cm solid clay bricks, Grade A)</w:t>
            </w:r>
          </w:p>
        </w:tc>
        <w:tc>
          <w:tcPr/>
          <w:p>
            <w:pPr>
              <w:pStyle w:val="Compact"/>
              <w:jc w:val="left"/>
            </w:pPr>
            <w:r>
              <w:t xml:space="preserve">4,200</w:t>
            </w:r>
          </w:p>
        </w:tc>
        <w:tc>
          <w:tcPr/>
          <w:p>
            <w:pPr>
              <w:pStyle w:val="Compact"/>
              <w:jc w:val="left"/>
            </w:pPr>
            <w:r>
              <w:t xml:space="preserve">m²</w:t>
            </w:r>
          </w:p>
        </w:tc>
        <w:tc>
          <w:tcPr/>
          <w:p>
            <w:pPr>
              <w:pStyle w:val="Compact"/>
              <w:jc w:val="left"/>
            </w:pPr>
            <w:r>
              <w:t xml:space="preserve">85.00</w:t>
            </w:r>
          </w:p>
        </w:tc>
        <w:tc>
          <w:tcPr/>
          <w:p>
            <w:pPr>
              <w:pStyle w:val="Compact"/>
              <w:jc w:val="left"/>
            </w:pPr>
            <w:r>
              <w:t xml:space="preserve">357,000.00</w:t>
            </w:r>
          </w:p>
        </w:tc>
      </w:tr>
      <w:tr>
        <w:tc>
          <w:tcPr/>
          <w:p>
            <w:pPr>
              <w:pStyle w:val="Compact"/>
              <w:jc w:val="left"/>
            </w:pPr>
            <w:r>
              <w:t xml:space="preserve">02</w:t>
            </w:r>
          </w:p>
        </w:tc>
        <w:tc>
          <w:tcPr/>
          <w:p>
            <w:pPr>
              <w:pStyle w:val="Compact"/>
              <w:jc w:val="left"/>
            </w:pPr>
            <w:r>
              <w:t xml:space="preserve">Decorative natural stone cladding – Indian sandstone, honed finish, external facade</w:t>
            </w:r>
          </w:p>
        </w:tc>
        <w:tc>
          <w:tcPr/>
          <w:p>
            <w:pPr>
              <w:pStyle w:val="Compact"/>
              <w:jc w:val="left"/>
            </w:pPr>
            <w:r>
              <w:t xml:space="preserve">1,850</w:t>
            </w:r>
          </w:p>
        </w:tc>
        <w:tc>
          <w:tcPr/>
          <w:p>
            <w:pPr>
              <w:pStyle w:val="Compact"/>
              <w:jc w:val="left"/>
            </w:pPr>
            <w:r>
              <w:t xml:space="preserve">m²</w:t>
            </w:r>
          </w:p>
        </w:tc>
        <w:tc>
          <w:tcPr/>
          <w:p>
            <w:pPr>
              <w:pStyle w:val="Compact"/>
              <w:jc w:val="left"/>
            </w:pPr>
            <w:r>
              <w:t xml:space="preserve">220.00</w:t>
            </w:r>
          </w:p>
        </w:tc>
        <w:tc>
          <w:tcPr/>
          <w:p>
            <w:pPr>
              <w:pStyle w:val="Compact"/>
              <w:jc w:val="left"/>
            </w:pPr>
            <w:r>
              <w:t xml:space="preserve">407,000.00</w:t>
            </w:r>
          </w:p>
        </w:tc>
      </w:tr>
      <w:tr>
        <w:tc>
          <w:tcPr/>
          <w:p>
            <w:pPr>
              <w:pStyle w:val="Compact"/>
              <w:jc w:val="left"/>
            </w:pPr>
            <w:r>
              <w:t xml:space="preserve">03</w:t>
            </w:r>
          </w:p>
        </w:tc>
        <w:tc>
          <w:tcPr/>
          <w:p>
            <w:pPr>
              <w:pStyle w:val="Compact"/>
              <w:jc w:val="left"/>
            </w:pPr>
            <w:r>
              <w:t xml:space="preserve">Interior partition masonry – 10cm hollow block, plastered both sides</w:t>
            </w:r>
          </w:p>
        </w:tc>
        <w:tc>
          <w:tcPr/>
          <w:p>
            <w:pPr>
              <w:pStyle w:val="Compact"/>
              <w:jc w:val="left"/>
            </w:pPr>
            <w:r>
              <w:t xml:space="preserve">3,600</w:t>
            </w:r>
          </w:p>
        </w:tc>
        <w:tc>
          <w:tcPr/>
          <w:p>
            <w:pPr>
              <w:pStyle w:val="Compact"/>
              <w:jc w:val="left"/>
            </w:pPr>
            <w:r>
              <w:t xml:space="preserve">m²</w:t>
            </w:r>
          </w:p>
        </w:tc>
        <w:tc>
          <w:tcPr/>
          <w:p>
            <w:pPr>
              <w:pStyle w:val="Compact"/>
              <w:jc w:val="left"/>
            </w:pPr>
            <w:r>
              <w:t xml:space="preserve">62.00</w:t>
            </w:r>
          </w:p>
        </w:tc>
        <w:tc>
          <w:tcPr/>
          <w:p>
            <w:pPr>
              <w:pStyle w:val="Compact"/>
              <w:jc w:val="left"/>
            </w:pPr>
            <w:r>
              <w:t xml:space="preserve">223,200.00</w:t>
            </w:r>
          </w:p>
        </w:tc>
      </w:tr>
      <w:tr>
        <w:tc>
          <w:tcPr/>
          <w:p>
            <w:pPr>
              <w:pStyle w:val="Compact"/>
              <w:jc w:val="left"/>
            </w:pPr>
            <w:r>
              <w:t xml:space="preserve">04</w:t>
            </w:r>
          </w:p>
        </w:tc>
        <w:tc>
          <w:tcPr/>
          <w:p>
            <w:pPr>
              <w:pStyle w:val="Compact"/>
              <w:jc w:val="left"/>
            </w:pPr>
            <w:r>
              <w:t xml:space="preserve">Masonry materials supply – cement (OPC 42.5), sand, aggregate, and bonding mortar</w:t>
            </w:r>
          </w:p>
        </w:tc>
        <w:tc>
          <w:tcPr/>
          <w:p>
            <w:pPr>
              <w:pStyle w:val="Compact"/>
              <w:jc w:val="left"/>
            </w:pPr>
            <w:r>
              <w:t xml:space="preserve">1</w:t>
            </w:r>
          </w:p>
        </w:tc>
        <w:tc>
          <w:tcPr/>
          <w:p>
            <w:pPr>
              <w:pStyle w:val="Compact"/>
              <w:jc w:val="left"/>
            </w:pPr>
            <w:r>
              <w:t xml:space="preserve">Lot</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05</w:t>
            </w:r>
          </w:p>
        </w:tc>
        <w:tc>
          <w:tcPr/>
          <w:p>
            <w:pPr>
              <w:pStyle w:val="Compact"/>
              <w:jc w:val="left"/>
            </w:pPr>
            <w:r>
              <w:t xml:space="preserve">Specialist Mason craftsmanship – arched entryway and decorative lintels (hand-carved granite)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Waterproofing and sealing of external masonry surfaces (polyurethane-based)</w:t>
            </w:r>
          </w:p>
        </w:tc>
        <w:tc>
          <w:tcPr/>
          <w:p>
            <w:pPr>
              <w:pStyle w:val="Compact"/>
              <w:jc w:val="left"/>
            </w:pPr>
            <w:r>
              <w:t xml:space="preserve">1,850</w:t>
            </w:r>
          </w:p>
        </w:tc>
        <w:tc>
          <w:tcPr/>
          <w:p>
            <w:pPr>
              <w:pStyle w:val="Compact"/>
              <w:jc w:val="left"/>
            </w:pPr>
            <w:r>
              <w:t xml:space="preserve">m²</w:t>
            </w:r>
          </w:p>
        </w:tc>
        <w:tc>
          <w:tcPr/>
          <w:p>
            <w:pPr>
              <w:pStyle w:val="Compact"/>
              <w:jc w:val="left"/>
            </w:pPr>
            <w:r>
              <w:t xml:space="preserve">38.00</w:t>
            </w:r>
          </w:p>
        </w:tc>
        <w:tc>
          <w:tcPr/>
          <w:p>
            <w:pPr>
              <w:pStyle w:val="Compact"/>
              <w:jc w:val="left"/>
            </w:pPr>
            <w:r>
              <w:t xml:space="preserve">70,300.00</w:t>
            </w:r>
          </w:p>
        </w:tc>
      </w:tr>
      <w:tr>
        <w:tc>
          <w:tcPr/>
          <w:p>
            <w:pPr>
              <w:pStyle w:val="Compact"/>
              <w:jc w:val="left"/>
            </w:pPr>
            <w:r>
              <w:t xml:space="preserve">07</w:t>
            </w:r>
          </w:p>
        </w:tc>
        <w:tc>
          <w:tcPr/>
          <w:p>
            <w:pPr>
              <w:pStyle w:val="Compact"/>
              <w:jc w:val="left"/>
            </w:pPr>
            <w:r>
              <w:t xml:space="preserve">Scaffolding, formwork, and site safety equipment for Mason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08</w:t>
            </w:r>
          </w:p>
        </w:tc>
        <w:tc>
          <w:tcPr/>
          <w:p>
            <w:pPr>
              <w:pStyle w:val="Compact"/>
              <w:jc w:val="left"/>
            </w:pPr>
            <w:r>
              <w:t xml:space="preserve">Quality inspection, curing, and final finishing by certified Mason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(AED)</w:t>
            </w:r>
          </w:p>
        </w:tc>
        <w:tc>
          <w:tcPr/>
          <w:p>
            <w:pPr>
              <w:pStyle w:val="Compact"/>
              <w:jc w:val="left"/>
            </w:pPr>
            <w:r>
              <w:t xml:space="preserve">1,368,000.00</w:t>
            </w:r>
          </w:p>
        </w:tc>
      </w:tr>
      <w:tr>
        <w:tc>
          <w:tcPr>
            <w:gridSpan w:val="5"/>
          </w:tcPr>
          <w:p>
            <w:pPr>
              <w:pStyle w:val="Compact"/>
              <w:jc w:val="right"/>
            </w:pPr>
            <w:r>
              <w:t xml:space="preserve">VAT @ 5% (United Arab Emirates Dubai)</w:t>
            </w:r>
          </w:p>
        </w:tc>
        <w:tc>
          <w:tcPr/>
          <w:p>
            <w:pPr>
              <w:pStyle w:val="Compact"/>
              <w:jc w:val="left"/>
            </w:pPr>
            <w:r>
              <w:t xml:space="preserve">68,400.00</w:t>
            </w:r>
          </w:p>
        </w:tc>
      </w:tr>
      <w:tr>
        <w:tc>
          <w:tcPr>
            <w:gridSpan w:val="5"/>
          </w:tcPr>
          <w:p>
            <w:pPr>
              <w:pStyle w:val="Compact"/>
              <w:jc w:val="right"/>
            </w:pPr>
            <w:r>
              <w:t xml:space="preserve">Grand Total (AED)</w:t>
            </w:r>
          </w:p>
        </w:tc>
        <w:tc>
          <w:tcPr/>
          <w:p>
            <w:pPr>
              <w:pStyle w:val="Compact"/>
              <w:jc w:val="left"/>
            </w:pPr>
            <w:r>
              <w:t xml:space="preserve">1,436,400.00</w:t>
            </w:r>
          </w:p>
        </w:tc>
      </w:tr>
    </w:tbl>
    <w:p>
      <w:pPr>
        <w:pStyle w:val="BodyText"/>
      </w:pPr>
      <w:r>
        <w:t xml:space="preserve">4. Terms and Conditions of This Purchase Order</w:t>
      </w:r>
    </w:p>
    <w:p>
      <w:pPr>
        <w:numPr>
          <w:ilvl w:val="0"/>
          <w:numId w:val="1001"/>
        </w:numPr>
        <w:pStyle w:val="Compact"/>
      </w:pPr>
      <w:r>
        <w:t xml:space="preserve">This Purchase Order is governed by the laws of the United Arab Emirates and shall be interpreted in accordance with the UAE Civil Code and applicable Dubai Municipality building regulations.</w:t>
      </w:r>
    </w:p>
    <w:p>
      <w:pPr>
        <w:numPr>
          <w:ilvl w:val="0"/>
          <w:numId w:val="1001"/>
        </w:numPr>
        <w:pStyle w:val="Compact"/>
      </w:pPr>
      <w:r>
        <w:t xml:space="preserve">The Mason contractor shall mobilize a minimum team of twelve (12) certified Mason workers, two (2) site supervisors, and one (1) quality assurance inspector to the project site in United Arab Emirates Dubai no later than 18 June 2025.</w:t>
      </w:r>
    </w:p>
    <w:p>
      <w:pPr>
        <w:numPr>
          <w:ilvl w:val="0"/>
          <w:numId w:val="1001"/>
        </w:numPr>
        <w:pStyle w:val="Compact"/>
      </w:pPr>
      <w:r>
        <w:t xml:space="preserve">All masonry materials specified in this Purchase Order must comply with Dubai Municipality standards and UAE.S GSO specifications. The Mason contractor shall provide material test certificates prior to installation.</w:t>
      </w:r>
    </w:p>
    <w:p>
      <w:pPr>
        <w:numPr>
          <w:ilvl w:val="0"/>
          <w:numId w:val="1001"/>
        </w:numPr>
        <w:pStyle w:val="Compact"/>
      </w:pPr>
      <w:r>
        <w:t xml:space="preserve">Payment shall be made in three (3) milestones: 30% upon commencement of Mason works, 40% upon completion of 60% of the masonry scope, and 30% upon final acceptance and handover.</w:t>
      </w:r>
    </w:p>
    <w:p>
      <w:pPr>
        <w:numPr>
          <w:ilvl w:val="0"/>
          <w:numId w:val="1001"/>
        </w:numPr>
        <w:pStyle w:val="Compact"/>
      </w:pPr>
      <w:r>
        <w:t xml:space="preserve">The Mason contractor shall maintain full workers' compensation insurance and comply with all occupational health and safety requirements mandated by the Dubai Municipality and the UAE Ministry of Human Resources.</w:t>
      </w:r>
    </w:p>
    <w:p>
      <w:pPr>
        <w:numPr>
          <w:ilvl w:val="0"/>
          <w:numId w:val="1001"/>
        </w:numPr>
        <w:pStyle w:val="Compact"/>
      </w:pPr>
      <w:r>
        <w:t xml:space="preserve">Any variation or change order to this Purchase Order must be approved in writing by both parties. Unauthorized deviations from the approved Mason work methodology will not be compensated.</w:t>
      </w:r>
    </w:p>
    <w:p>
      <w:pPr>
        <w:numPr>
          <w:ilvl w:val="0"/>
          <w:numId w:val="1001"/>
        </w:numPr>
        <w:pStyle w:val="Compact"/>
      </w:pPr>
      <w:r>
        <w:t xml:space="preserve">The Mason contractor shall provide a twelve (12) month defect liability period from the date of final acceptance, during which all masonry defects shall be rectified at no additional cost.</w:t>
      </w:r>
    </w:p>
    <w:p>
      <w:pPr>
        <w:numPr>
          <w:ilvl w:val="0"/>
          <w:numId w:val="1001"/>
        </w:numPr>
        <w:pStyle w:val="Compact"/>
      </w:pPr>
      <w:r>
        <w:t xml:space="preserve">All work shall be performed in accordance with the approved architectural and structural drawings. The Mason team shall attend weekly progress meetings coordinated by the project engineer in United Arab Emirates Dubai.</w:t>
      </w:r>
    </w:p>
    <w:p>
      <w:pPr>
        <w:numPr>
          <w:ilvl w:val="0"/>
          <w:numId w:val="1001"/>
        </w:numPr>
        <w:pStyle w:val="Compact"/>
      </w:pPr>
      <w:r>
        <w:t xml:space="preserve">Disputes arising from this Purchase Order shall be resolved through arbitration in Dubai under the rules of the Dubai International Arbitration Centre (DIAC).</w:t>
      </w:r>
    </w:p>
    <w:p>
      <w:pPr>
        <w:numPr>
          <w:ilvl w:val="0"/>
          <w:numId w:val="1001"/>
        </w:numPr>
        <w:pStyle w:val="Compact"/>
      </w:pPr>
      <w:r>
        <w:t xml:space="preserve">This Purchase Order becomes effective upon signature by both parties and remains valid until full completion and final payment.</w:t>
      </w:r>
    </w:p>
    <w:p>
      <w:pPr>
        <w:pStyle w:val="FirstParagraph"/>
      </w:pPr>
      <w:r>
        <w:t xml:space="preserve">5. Acceptance and Authorization</w:t>
      </w:r>
    </w:p>
    <w:p>
      <w:pPr>
        <w:pStyle w:val="BodyText"/>
      </w:pPr>
      <w:r>
        <w:rPr>
          <w:bCs/>
          <w:b/>
        </w:rPr>
        <w:t xml:space="preserve">For and on behalf of the Buyer:</w:t>
      </w:r>
    </w:p>
    <w:p>
      <w:pPr>
        <w:pStyle w:val="BodyText"/>
      </w:pPr>
      <w:r>
        <w:t xml:space="preserve">Gulf Horizon Construction &amp; Development LLC</w:t>
      </w:r>
    </w:p>
    <w:p>
      <w:pPr>
        <w:pStyle w:val="BodyText"/>
      </w:pPr>
      <w:r>
        <w:t xml:space="preserve">Eng. Khalid Al Mansoori</w:t>
      </w:r>
    </w:p>
    <w:p>
      <w:pPr>
        <w:pStyle w:val="BodyText"/>
      </w:pPr>
      <w:r>
        <w:t xml:space="preserve">Project Director</w:t>
      </w:r>
    </w:p>
    <w:p>
      <w:pPr>
        <w:pStyle w:val="BodyText"/>
      </w:pPr>
      <w:r>
        <w:t xml:space="preserve">Date: _______________</w:t>
      </w:r>
    </w:p>
    <w:p>
      <w:pPr>
        <w:pStyle w:val="BodyText"/>
      </w:pPr>
      <w:r>
        <w:rPr>
          <w:bCs/>
          <w:b/>
        </w:rPr>
        <w:t xml:space="preserve">For and on behalf of the Mason Contractor:</w:t>
      </w:r>
    </w:p>
    <w:p>
      <w:pPr>
        <w:pStyle w:val="BodyText"/>
      </w:pPr>
      <w:r>
        <w:t xml:space="preserve">Al Noor Mason &amp; Stoneworks FZE</w:t>
      </w:r>
    </w:p>
    <w:p>
      <w:pPr>
        <w:pStyle w:val="BodyText"/>
      </w:pPr>
      <w:r>
        <w:t xml:space="preserve">Mr. Rajesh Kumar</w:t>
      </w:r>
    </w:p>
    <w:p>
      <w:pPr>
        <w:pStyle w:val="BodyText"/>
      </w:pPr>
      <w:r>
        <w:t xml:space="preserve">Head Mason &amp; Site Supervisor</w:t>
      </w:r>
    </w:p>
    <w:p>
      <w:pPr>
        <w:pStyle w:val="BodyText"/>
      </w:pPr>
      <w:r>
        <w:t xml:space="preserve">Date: _______________</w:t>
      </w:r>
    </w:p>
    <w:p>
      <w:pPr>
        <w:pStyle w:val="BodyText"/>
      </w:pPr>
      <w:r>
        <w:t xml:space="preserve">This Purchase Order (PO-UAE-DXB-2025-04872) is a legally binding document issued for masonry services and materials procurement in United Arab Emirates Dubai. All references to "Mason" herein denote the qualified masonry trade professional and associated stoneworking services. This document is valid only when signed and stamped by both authorized representatives. © 2025 Gulf Horizon Construction &amp; Development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United Arab Emirates Dubai</dc:title>
  <dc:creator/>
  <dc:language>en</dc:language>
  <cp:keywords/>
  <dcterms:created xsi:type="dcterms:W3CDTF">2026-10-10T03:49:48Z</dcterms:created>
  <dcterms:modified xsi:type="dcterms:W3CDTF">2026-10-10T03:49:48Z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