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Construction</w:t>
      </w:r>
      <w:r>
        <w:t xml:space="preserve"> </w:t>
      </w:r>
      <w:r>
        <w:t xml:space="preserve">Supply</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PO Number: MIA-2025-04872</w:t>
      </w:r>
    </w:p>
    <w:p>
      <w:pPr>
        <w:pStyle w:val="BodyText"/>
      </w:pPr>
      <w:r>
        <w:t xml:space="preserve">Date of Issue: June 12, 2025</w:t>
      </w:r>
    </w:p>
    <w:p>
      <w:pPr>
        <w:pStyle w:val="BodyText"/>
      </w:pPr>
      <w:r>
        <w:t xml:space="preserve">Valid Until: July 12, 2025</w:t>
      </w:r>
    </w:p>
    <w:bookmarkEnd w:id="20"/>
    <w:bookmarkStart w:id="21" w:name="buyer-purchasing-entity"/>
    <w:p>
      <w:pPr>
        <w:pStyle w:val="Heading3"/>
      </w:pPr>
      <w:r>
        <w:t xml:space="preserve">Buyer (Purchasing Entity)</w:t>
      </w:r>
    </w:p>
    <w:p>
      <w:pPr>
        <w:pStyle w:val="FirstParagraph"/>
      </w:pPr>
      <w:r>
        <w:rPr>
          <w:bCs/>
          <w:b/>
        </w:rPr>
        <w:t xml:space="preserve">South Florida Development Group, LLC</w:t>
      </w:r>
    </w:p>
    <w:p>
      <w:pPr>
        <w:pStyle w:val="BodyText"/>
      </w:pPr>
      <w:r>
        <w:t xml:space="preserve">1200 Biscayne Boulevard, Suite 450</w:t>
      </w:r>
    </w:p>
    <w:p>
      <w:pPr>
        <w:pStyle w:val="BodyText"/>
      </w:pPr>
      <w:r>
        <w:t xml:space="preserve">Miami, Florida 33132</w:t>
      </w:r>
    </w:p>
    <w:p>
      <w:pPr>
        <w:pStyle w:val="BodyText"/>
      </w:pPr>
      <w:r>
        <w:t xml:space="preserve">United States</w:t>
      </w:r>
    </w:p>
    <w:p>
      <w:pPr>
        <w:pStyle w:val="BodyText"/>
      </w:pPr>
      <w:r>
        <w:t xml:space="preserve">Phone: (305) 555-0147</w:t>
      </w:r>
    </w:p>
    <w:p>
      <w:pPr>
        <w:pStyle w:val="BodyText"/>
      </w:pPr>
      <w:r>
        <w:t xml:space="preserve">Email: procurement@sfdg-miami.com</w:t>
      </w:r>
    </w:p>
    <w:p>
      <w:pPr>
        <w:pStyle w:val="BodyText"/>
      </w:pPr>
      <w:r>
        <w:t xml:space="preserve">Tax ID: 82-4471903</w:t>
      </w:r>
    </w:p>
    <w:bookmarkEnd w:id="21"/>
    <w:bookmarkStart w:id="22" w:name="supplier-vendor"/>
    <w:p>
      <w:pPr>
        <w:pStyle w:val="Heading3"/>
      </w:pPr>
      <w:r>
        <w:t xml:space="preserve">Supplier (Vendor)</w:t>
      </w:r>
    </w:p>
    <w:p>
      <w:pPr>
        <w:pStyle w:val="FirstParagraph"/>
      </w:pPr>
      <w:r>
        <w:rPr>
          <w:bCs/>
          <w:b/>
        </w:rPr>
        <w:t xml:space="preserve">Mason Construction Supply &amp; Materials, Inc.</w:t>
      </w:r>
    </w:p>
    <w:p>
      <w:pPr>
        <w:pStyle w:val="BodyText"/>
      </w:pPr>
      <w:r>
        <w:t xml:space="preserve">4520 NW 27th Avenue, Industrial District</w:t>
      </w:r>
    </w:p>
    <w:p>
      <w:pPr>
        <w:pStyle w:val="BodyText"/>
      </w:pPr>
      <w:r>
        <w:t xml:space="preserve">Miami, Florida 33142</w:t>
      </w:r>
    </w:p>
    <w:p>
      <w:pPr>
        <w:pStyle w:val="BodyText"/>
      </w:pPr>
      <w:r>
        <w:t xml:space="preserve">United States</w:t>
      </w:r>
    </w:p>
    <w:p>
      <w:pPr>
        <w:pStyle w:val="BodyText"/>
      </w:pPr>
      <w:r>
        <w:t xml:space="preserve">Phone: (305) 555-0892</w:t>
      </w:r>
    </w:p>
    <w:p>
      <w:pPr>
        <w:pStyle w:val="BodyText"/>
      </w:pPr>
      <w:r>
        <w:t xml:space="preserve">Email: orders@masonsupply-miami.com</w:t>
      </w:r>
    </w:p>
    <w:p>
      <w:pPr>
        <w:pStyle w:val="BodyText"/>
      </w:pPr>
      <w:r>
        <w:t xml:space="preserve">Tax ID: 59-2283741</w:t>
      </w:r>
    </w:p>
    <w:bookmarkEnd w:id="22"/>
    <w:bookmarkStart w:id="23" w:name="order-details-mason-materials-services"/>
    <w:p>
      <w:pPr>
        <w:pStyle w:val="Heading2"/>
      </w:pPr>
      <w:r>
        <w:t xml:space="preserve">Order Details – Mason Materials &amp; Services</w:t>
      </w:r>
    </w:p>
    <w:p>
      <w:pPr>
        <w:pStyle w:val="FirstParagraph"/>
      </w:pPr>
      <w:r>
        <w:t xml:space="preserve">This Purchase Order is issued by South Florida Development Group, LLC for the procurement of masonry materials, structural components, and related construction services from</w:t>
      </w:r>
      <w:r>
        <w:t xml:space="preserve"> </w:t>
      </w:r>
      <w:r>
        <w:t xml:space="preserve">Mason Construction Supply &amp; Materials, Inc.</w:t>
      </w:r>
      <w:r>
        <w:t xml:space="preserve">, a licensed and bonded supplier operating within the</w:t>
      </w:r>
      <w:r>
        <w:t xml:space="preserve"> </w:t>
      </w:r>
      <w:r>
        <w:t xml:space="preserve">United States Miami</w:t>
      </w:r>
      <w:r>
        <w:t xml:space="preserve"> </w:t>
      </w:r>
      <w:r>
        <w:t xml:space="preserve">metropolitan area. This Purchase Order governs all terms, conditions, pricing, and delivery obligations for the project identified below. All materials and services referenced in this Purchase Order shall comply with the Florida Building Code, Miami-Dade County regulations, and all applicable federal standards in force within the</w:t>
      </w:r>
      <w:r>
        <w:t xml:space="preserve"> </w:t>
      </w:r>
      <w:r>
        <w:t xml:space="preserve">United States Miami</w:t>
      </w:r>
      <w:r>
        <w:t xml:space="preserve"> </w:t>
      </w:r>
      <w:r>
        <w:t xml:space="preserve">jurisdiction.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w:t>
            </w:r>
          </w:p>
        </w:tc>
        <w:tc>
          <w:tcPr/>
          <w:p>
            <w:pPr>
              <w:pStyle w:val="Compact"/>
              <w:jc w:val="left"/>
            </w:pPr>
            <w:r>
              <w:t xml:space="preserve">Description of Mason Materials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Mason-grade CMU blocks, 8-inch, Type SPC, solid (per pallet of 100 units)</w:t>
            </w:r>
          </w:p>
        </w:tc>
        <w:tc>
          <w:tcPr/>
          <w:p>
            <w:pPr>
              <w:pStyle w:val="Compact"/>
              <w:jc w:val="left"/>
            </w:pPr>
            <w:r>
              <w:t xml:space="preserve">120</w:t>
            </w:r>
          </w:p>
        </w:tc>
        <w:tc>
          <w:tcPr/>
          <w:p>
            <w:pPr>
              <w:pStyle w:val="Compact"/>
              <w:jc w:val="left"/>
            </w:pPr>
            <w:r>
              <w:t xml:space="preserve">Pallets</w:t>
            </w:r>
          </w:p>
        </w:tc>
        <w:tc>
          <w:tcPr/>
          <w:p>
            <w:pPr>
              <w:pStyle w:val="Compact"/>
              <w:jc w:val="left"/>
            </w:pPr>
            <w:r>
              <w:t xml:space="preserve">$485.00</w:t>
            </w:r>
          </w:p>
        </w:tc>
        <w:tc>
          <w:tcPr/>
          <w:p>
            <w:pPr>
              <w:pStyle w:val="Compact"/>
              <w:jc w:val="left"/>
            </w:pPr>
            <w:r>
              <w:t xml:space="preserve">$58,200.00</w:t>
            </w:r>
          </w:p>
        </w:tc>
      </w:tr>
      <w:tr>
        <w:tc>
          <w:tcPr/>
          <w:p>
            <w:pPr>
              <w:pStyle w:val="Compact"/>
              <w:jc w:val="left"/>
            </w:pPr>
            <w:r>
              <w:t xml:space="preserve">2</w:t>
            </w:r>
          </w:p>
        </w:tc>
        <w:tc>
          <w:tcPr/>
          <w:p>
            <w:pPr>
              <w:pStyle w:val="Compact"/>
              <w:jc w:val="left"/>
            </w:pPr>
            <w:r>
              <w:t xml:space="preserve">Mason-grade CMU blocks, 8-inch, Type SPC, hollow (per pallet of 100 units)</w:t>
            </w:r>
          </w:p>
        </w:tc>
        <w:tc>
          <w:tcPr/>
          <w:p>
            <w:pPr>
              <w:pStyle w:val="Compact"/>
              <w:jc w:val="left"/>
            </w:pPr>
            <w:r>
              <w:t xml:space="preserve">85</w:t>
            </w:r>
          </w:p>
        </w:tc>
        <w:tc>
          <w:tcPr/>
          <w:p>
            <w:pPr>
              <w:pStyle w:val="Compact"/>
              <w:jc w:val="left"/>
            </w:pPr>
            <w:r>
              <w:t xml:space="preserve">Pallets</w:t>
            </w:r>
          </w:p>
        </w:tc>
        <w:tc>
          <w:tcPr/>
          <w:p>
            <w:pPr>
              <w:pStyle w:val="Compact"/>
              <w:jc w:val="left"/>
            </w:pPr>
            <w:r>
              <w:t xml:space="preserve">$412.00</w:t>
            </w:r>
          </w:p>
        </w:tc>
        <w:tc>
          <w:tcPr/>
          <w:p>
            <w:pPr>
              <w:pStyle w:val="Compact"/>
              <w:jc w:val="left"/>
            </w:pPr>
            <w:r>
              <w:t xml:space="preserve">$35,020.00</w:t>
            </w:r>
          </w:p>
        </w:tc>
      </w:tr>
      <w:tr>
        <w:tc>
          <w:tcPr/>
          <w:p>
            <w:pPr>
              <w:pStyle w:val="Compact"/>
              <w:jc w:val="left"/>
            </w:pPr>
            <w:r>
              <w:t xml:space="preserve">3</w:t>
            </w:r>
          </w:p>
        </w:tc>
        <w:tc>
          <w:tcPr/>
          <w:p>
            <w:pPr>
              <w:pStyle w:val="Compact"/>
              <w:jc w:val="left"/>
            </w:pPr>
            <w:r>
              <w:t xml:space="preserve">Portland Type I/II cement, 94-lb bags (per pallet of 50 bags)</w:t>
            </w:r>
          </w:p>
        </w:tc>
        <w:tc>
          <w:tcPr/>
          <w:p>
            <w:pPr>
              <w:pStyle w:val="Compact"/>
              <w:jc w:val="left"/>
            </w:pPr>
            <w:r>
              <w:t xml:space="preserve">60</w:t>
            </w:r>
          </w:p>
        </w:tc>
        <w:tc>
          <w:tcPr/>
          <w:p>
            <w:pPr>
              <w:pStyle w:val="Compact"/>
              <w:jc w:val="left"/>
            </w:pPr>
            <w:r>
              <w:t xml:space="preserve">Pallets</w:t>
            </w:r>
          </w:p>
        </w:tc>
        <w:tc>
          <w:tcPr/>
          <w:p>
            <w:pPr>
              <w:pStyle w:val="Compact"/>
              <w:jc w:val="left"/>
            </w:pPr>
            <w:r>
              <w:t xml:space="preserve">$520.00</w:t>
            </w:r>
          </w:p>
        </w:tc>
        <w:tc>
          <w:tcPr/>
          <w:p>
            <w:pPr>
              <w:pStyle w:val="Compact"/>
              <w:jc w:val="left"/>
            </w:pPr>
            <w:r>
              <w:t xml:space="preserve">$31,200.00</w:t>
            </w:r>
          </w:p>
        </w:tc>
      </w:tr>
      <w:tr>
        <w:tc>
          <w:tcPr/>
          <w:p>
            <w:pPr>
              <w:pStyle w:val="Compact"/>
              <w:jc w:val="left"/>
            </w:pPr>
            <w:r>
              <w:t xml:space="preserve">4</w:t>
            </w:r>
          </w:p>
        </w:tc>
        <w:tc>
          <w:tcPr/>
          <w:p>
            <w:pPr>
              <w:pStyle w:val="Compact"/>
              <w:jc w:val="left"/>
            </w:pPr>
            <w:r>
              <w:t xml:space="preserve">Mason-grade sand, washed, 0-4.75mm aggregate (per cubic yard)</w:t>
            </w:r>
          </w:p>
        </w:tc>
        <w:tc>
          <w:tcPr/>
          <w:p>
            <w:pPr>
              <w:pStyle w:val="Compact"/>
              <w:jc w:val="left"/>
            </w:pPr>
            <w:r>
              <w:t xml:space="preserve">200</w:t>
            </w:r>
          </w:p>
        </w:tc>
        <w:tc>
          <w:tcPr/>
          <w:p>
            <w:pPr>
              <w:pStyle w:val="Compact"/>
              <w:jc w:val="left"/>
            </w:pPr>
            <w:r>
              <w:t xml:space="preserve">Cu Yds</w:t>
            </w:r>
          </w:p>
        </w:tc>
        <w:tc>
          <w:tcPr/>
          <w:p>
            <w:pPr>
              <w:pStyle w:val="Compact"/>
              <w:jc w:val="left"/>
            </w:pPr>
            <w:r>
              <w:t xml:space="preserve">$48.50</w:t>
            </w:r>
          </w:p>
        </w:tc>
        <w:tc>
          <w:tcPr/>
          <w:p>
            <w:pPr>
              <w:pStyle w:val="Compact"/>
              <w:jc w:val="left"/>
            </w:pPr>
            <w:r>
              <w:t xml:space="preserve">$9,700.00</w:t>
            </w:r>
          </w:p>
        </w:tc>
      </w:tr>
      <w:tr>
        <w:tc>
          <w:tcPr/>
          <w:p>
            <w:pPr>
              <w:pStyle w:val="Compact"/>
              <w:jc w:val="left"/>
            </w:pPr>
            <w:r>
              <w:t xml:space="preserve">5</w:t>
            </w:r>
          </w:p>
        </w:tc>
        <w:tc>
          <w:tcPr/>
          <w:p>
            <w:pPr>
              <w:pStyle w:val="Compact"/>
              <w:jc w:val="left"/>
            </w:pPr>
            <w:r>
              <w:t xml:space="preserve">Grout, non-shrink, Mason specification, 60-lb bags (per pallet of 40 bags)</w:t>
            </w:r>
          </w:p>
        </w:tc>
        <w:tc>
          <w:tcPr/>
          <w:p>
            <w:pPr>
              <w:pStyle w:val="Compact"/>
              <w:jc w:val="left"/>
            </w:pPr>
            <w:r>
              <w:t xml:space="preserve">45</w:t>
            </w:r>
          </w:p>
        </w:tc>
        <w:tc>
          <w:tcPr/>
          <w:p>
            <w:pPr>
              <w:pStyle w:val="Compact"/>
              <w:jc w:val="left"/>
            </w:pPr>
            <w:r>
              <w:t xml:space="preserve">Pallets</w:t>
            </w:r>
          </w:p>
        </w:tc>
        <w:tc>
          <w:tcPr/>
          <w:p>
            <w:pPr>
              <w:pStyle w:val="Compact"/>
              <w:jc w:val="left"/>
            </w:pPr>
            <w:r>
              <w:t xml:space="preserve">$395.00</w:t>
            </w:r>
          </w:p>
        </w:tc>
        <w:tc>
          <w:tcPr/>
          <w:p>
            <w:pPr>
              <w:pStyle w:val="Compact"/>
              <w:jc w:val="left"/>
            </w:pPr>
            <w:r>
              <w:t xml:space="preserve">$17,775.00</w:t>
            </w:r>
          </w:p>
        </w:tc>
      </w:tr>
      <w:tr>
        <w:tc>
          <w:tcPr/>
          <w:p>
            <w:pPr>
              <w:pStyle w:val="Compact"/>
              <w:jc w:val="left"/>
            </w:pPr>
            <w:r>
              <w:t xml:space="preserve">6</w:t>
            </w:r>
          </w:p>
        </w:tc>
        <w:tc>
          <w:tcPr/>
          <w:p>
            <w:pPr>
              <w:pStyle w:val="Compact"/>
              <w:jc w:val="left"/>
            </w:pPr>
            <w:r>
              <w:t xml:space="preserve">Stainless steel masonry tie wire, 16-gauge, 500-lb coils</w:t>
            </w:r>
          </w:p>
        </w:tc>
        <w:tc>
          <w:tcPr/>
          <w:p>
            <w:pPr>
              <w:pStyle w:val="Compact"/>
              <w:jc w:val="left"/>
            </w:pPr>
            <w:r>
              <w:t xml:space="preserve">12</w:t>
            </w:r>
          </w:p>
        </w:tc>
        <w:tc>
          <w:tcPr/>
          <w:p>
            <w:pPr>
              <w:pStyle w:val="Compact"/>
              <w:jc w:val="left"/>
            </w:pPr>
            <w:r>
              <w:t xml:space="preserve">Coils</w:t>
            </w:r>
          </w:p>
        </w:tc>
        <w:tc>
          <w:tcPr/>
          <w:p>
            <w:pPr>
              <w:pStyle w:val="Compact"/>
              <w:jc w:val="left"/>
            </w:pPr>
            <w:r>
              <w:t xml:space="preserve">$1,240.00</w:t>
            </w:r>
          </w:p>
        </w:tc>
        <w:tc>
          <w:tcPr/>
          <w:p>
            <w:pPr>
              <w:pStyle w:val="Compact"/>
              <w:jc w:val="left"/>
            </w:pPr>
            <w:r>
              <w:t xml:space="preserve">$14,880.00</w:t>
            </w:r>
          </w:p>
        </w:tc>
      </w:tr>
      <w:tr>
        <w:tc>
          <w:tcPr/>
          <w:p>
            <w:pPr>
              <w:pStyle w:val="Compact"/>
              <w:jc w:val="left"/>
            </w:pPr>
            <w:r>
              <w:t xml:space="preserve">7</w:t>
            </w:r>
          </w:p>
        </w:tc>
        <w:tc>
          <w:tcPr/>
          <w:p>
            <w:pPr>
              <w:pStyle w:val="Compact"/>
              <w:jc w:val="left"/>
            </w:pPr>
            <w:r>
              <w:t xml:space="preserve">Waterproofing membrane, Mason-approved elastomeric, 100-sq-ft rolls</w:t>
            </w:r>
          </w:p>
        </w:tc>
        <w:tc>
          <w:tcPr/>
          <w:p>
            <w:pPr>
              <w:pStyle w:val="Compact"/>
              <w:jc w:val="left"/>
            </w:pPr>
            <w:r>
              <w:t xml:space="preserve">75</w:t>
            </w:r>
          </w:p>
        </w:tc>
        <w:tc>
          <w:tcPr/>
          <w:p>
            <w:pPr>
              <w:pStyle w:val="Compact"/>
              <w:jc w:val="left"/>
            </w:pPr>
            <w:r>
              <w:t xml:space="preserve">Rolls</w:t>
            </w:r>
          </w:p>
        </w:tc>
        <w:tc>
          <w:tcPr/>
          <w:p>
            <w:pPr>
              <w:pStyle w:val="Compact"/>
              <w:jc w:val="left"/>
            </w:pPr>
            <w:r>
              <w:t xml:space="preserve">$310.00</w:t>
            </w:r>
          </w:p>
        </w:tc>
        <w:tc>
          <w:tcPr/>
          <w:p>
            <w:pPr>
              <w:pStyle w:val="Compact"/>
              <w:jc w:val="left"/>
            </w:pPr>
            <w:r>
              <w:t xml:space="preserve">$23,250.00</w:t>
            </w:r>
          </w:p>
        </w:tc>
      </w:tr>
      <w:tr>
        <w:tc>
          <w:tcPr/>
          <w:p>
            <w:pPr>
              <w:pStyle w:val="Compact"/>
              <w:jc w:val="left"/>
            </w:pPr>
            <w:r>
              <w:t xml:space="preserve">8</w:t>
            </w:r>
          </w:p>
        </w:tc>
        <w:tc>
          <w:tcPr/>
          <w:p>
            <w:pPr>
              <w:pStyle w:val="Compact"/>
              <w:jc w:val="left"/>
            </w:pPr>
            <w:r>
              <w:t xml:space="preserve">Professional mason labor – skilled masonry crew (4 workers), per 8-hour day</w:t>
            </w:r>
          </w:p>
        </w:tc>
        <w:tc>
          <w:tcPr/>
          <w:p>
            <w:pPr>
              <w:pStyle w:val="Compact"/>
              <w:jc w:val="left"/>
            </w:pPr>
            <w:r>
              <w:t xml:space="preserve">30</w:t>
            </w:r>
          </w:p>
        </w:tc>
        <w:tc>
          <w:tcPr/>
          <w:p>
            <w:pPr>
              <w:pStyle w:val="Compact"/>
              <w:jc w:val="left"/>
            </w:pPr>
            <w:r>
              <w:t xml:space="preserve">Days</w:t>
            </w:r>
          </w:p>
        </w:tc>
        <w:tc>
          <w:tcPr/>
          <w:p>
            <w:pPr>
              <w:pStyle w:val="Compact"/>
              <w:jc w:val="left"/>
            </w:pPr>
            <w:r>
              <w:t xml:space="preserve">$3,800.00</w:t>
            </w:r>
          </w:p>
        </w:tc>
        <w:tc>
          <w:tcPr/>
          <w:p>
            <w:pPr>
              <w:pStyle w:val="Compact"/>
              <w:jc w:val="left"/>
            </w:pPr>
            <w:r>
              <w:t xml:space="preserve">$114,000.00</w:t>
            </w:r>
          </w:p>
        </w:tc>
      </w:tr>
      <w:tr>
        <w:tc>
          <w:tcPr/>
          <w:p>
            <w:pPr>
              <w:pStyle w:val="Compact"/>
              <w:jc w:val="left"/>
            </w:pPr>
            <w:r>
              <w:t xml:space="preserve">9</w:t>
            </w:r>
          </w:p>
        </w:tc>
        <w:tc>
          <w:tcPr/>
          <w:p>
            <w:pPr>
              <w:pStyle w:val="Compact"/>
              <w:jc w:val="left"/>
            </w:pPr>
            <w:r>
              <w:t xml:space="preserve">Delivery and on-site staging within Miami-Dade County, United States Miami</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10</w:t>
            </w:r>
          </w:p>
        </w:tc>
        <w:tc>
          <w:tcPr/>
          <w:p>
            <w:pPr>
              <w:pStyle w:val="Compact"/>
              <w:jc w:val="left"/>
            </w:pPr>
            <w:r>
              <w:t xml:space="preserve">Quality inspection and Mason compliance certification per Florida DBPR</w:t>
            </w:r>
          </w:p>
        </w:tc>
        <w:tc>
          <w:tcPr/>
          <w:p>
            <w:pPr>
              <w:pStyle w:val="Compact"/>
              <w:jc w:val="left"/>
            </w:pPr>
            <w:r>
              <w:t xml:space="preserve">1</w:t>
            </w:r>
          </w:p>
        </w:tc>
        <w:tc>
          <w:tcPr/>
          <w:p>
            <w:pPr>
              <w:pStyle w:val="Compact"/>
              <w:jc w:val="left"/>
            </w:pPr>
            <w:r>
              <w:t xml:space="preserve">Lot</w:t>
            </w:r>
          </w:p>
        </w:tc>
        <w:tc>
          <w:tcPr/>
          <w:p>
            <w:pPr>
              <w:pStyle w:val="Compact"/>
              <w:jc w:val="left"/>
            </w:pPr>
            <w:r>
              <w:t xml:space="preserve">$2,800.00</w:t>
            </w:r>
          </w:p>
        </w:tc>
        <w:tc>
          <w:tcPr/>
          <w:p>
            <w:pPr>
              <w:pStyle w:val="Compact"/>
              <w:jc w:val="left"/>
            </w:pPr>
            <w:r>
              <w:t xml:space="preserve">$2,800.00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$311,325.00</w:t>
            </w:r>
          </w:p>
        </w:tc>
      </w:tr>
      <w:tr>
        <w:tc>
          <w:tcPr/>
          <w:p>
            <w:pPr>
              <w:pStyle w:val="Compact"/>
              <w:jc w:val="left"/>
            </w:pPr>
            <w:r>
              <w:t xml:space="preserve">Florida Sales Tax (6.5%)</w:t>
            </w:r>
          </w:p>
        </w:tc>
        <w:tc>
          <w:tcPr/>
          <w:p>
            <w:pPr>
              <w:pStyle w:val="Compact"/>
              <w:jc w:val="right"/>
            </w:pPr>
            <w:r>
              <w:t xml:space="preserve">$20,236.13</w:t>
            </w:r>
          </w:p>
        </w:tc>
      </w:tr>
      <w:tr>
        <w:tc>
          <w:tcPr/>
          <w:p>
            <w:pPr>
              <w:pStyle w:val="Compact"/>
              <w:jc w:val="left"/>
            </w:pPr>
            <w:r>
              <w:t xml:space="preserve">Miami-Dade County Surcharge (1.0%)</w:t>
            </w:r>
          </w:p>
        </w:tc>
        <w:tc>
          <w:tcPr/>
          <w:p>
            <w:pPr>
              <w:pStyle w:val="Compact"/>
              <w:jc w:val="right"/>
            </w:pPr>
            <w:r>
              <w:t xml:space="preserve">$3,113.25</w:t>
            </w:r>
          </w:p>
        </w:tc>
      </w:tr>
      <w:tr>
        <w:tc>
          <w:tcPr/>
          <w:p>
            <w:pPr>
              <w:pStyle w:val="Compact"/>
              <w:jc w:val="left"/>
            </w:pPr>
            <w:r>
              <w:t xml:space="preserve">Grand Total (USD)</w:t>
            </w:r>
          </w:p>
        </w:tc>
        <w:tc>
          <w:tcPr/>
          <w:p>
            <w:pPr>
              <w:pStyle w:val="Compact"/>
              <w:jc w:val="right"/>
            </w:pPr>
            <w:r>
              <w:t xml:space="preserve">$334,674.38</w:t>
            </w:r>
          </w:p>
        </w:tc>
      </w:tr>
    </w:tbl>
    <w:bookmarkEnd w:id="23"/>
    <w:bookmarkStart w:id="24" w:name="terms-and-conditions"/>
    <w:p>
      <w:pPr>
        <w:pStyle w:val="Heading2"/>
      </w:pPr>
      <w:r>
        <w:t xml:space="preserve">Terms and Conditions</w:t>
      </w:r>
    </w:p>
    <w:p>
      <w:pPr>
        <w:pStyle w:val="FirstParagraph"/>
      </w:pPr>
      <w:r>
        <w:rPr>
          <w:bCs/>
          <w:b/>
        </w:rPr>
        <w:t xml:space="preserve">1. Delivery:</w:t>
      </w:r>
      <w:r>
        <w:t xml:space="preserve"> </w:t>
      </w:r>
      <w:r>
        <w:t xml:space="preserve">All Mason materials and supplies listed in this Purchase Order shall be delivered to the project site located at 8801 SW 152nd Street, Miami, Florida 33183, United States Miami. Delivery shall occur in staged shipments no later than August 15, 2025. Mason Construction Supply &amp; Materials, Inc. is responsible for all transportation, loading, and on-site staging costs as itemized in Line 9 of this Purchase Order.</w:t>
      </w:r>
    </w:p>
    <w:p>
      <w:pPr>
        <w:pStyle w:val="BodyText"/>
      </w:pPr>
      <w:r>
        <w:rPr>
          <w:bCs/>
          <w:b/>
        </w:rPr>
        <w:t xml:space="preserve">2. Payment Terms:</w:t>
      </w:r>
      <w:r>
        <w:t xml:space="preserve"> </w:t>
      </w:r>
      <w:r>
        <w:t xml:space="preserve">Payment shall be made within thirty (30) days of receipt of a valid invoice from Mason Construction Supply &amp; Materials, Inc. Payment shall be issued via wire transfer to the bank account designated by the supplier. A late payment penalty of 1.5% per month shall apply to any outstanding balance beyond the due date. The total Purchase Order value of $334,674.38 shall be disbursed in three equal installments tied to project milestones.</w:t>
      </w:r>
    </w:p>
    <w:p>
      <w:pPr>
        <w:pStyle w:val="BodyText"/>
      </w:pPr>
      <w:r>
        <w:rPr>
          <w:bCs/>
          <w:b/>
        </w:rPr>
        <w:t xml:space="preserve">3. Quality and Compliance:</w:t>
      </w:r>
      <w:r>
        <w:t xml:space="preserve"> </w:t>
      </w:r>
      <w:r>
        <w:t xml:space="preserve">All Mason-grade materials must meet or exceed ASTM C90, ASTM C139, and ACI 530.1 standards. Mason Construction Supply &amp; Materials, Inc. shall provide mill certificates, batch test reports, and a Mason compliance certification for every shipment. Non-conforming materials will be rejected at the supplier's expense and replaced within five (5) business days.</w:t>
      </w:r>
    </w:p>
    <w:p>
      <w:pPr>
        <w:pStyle w:val="BodyText"/>
      </w:pPr>
      <w:r>
        <w:rPr>
          <w:bCs/>
          <w:b/>
        </w:rPr>
        <w:t xml:space="preserve">4. Cancellation and Modification:</w:t>
      </w:r>
      <w:r>
        <w:t xml:space="preserve"> </w:t>
      </w:r>
      <w:r>
        <w:t xml:space="preserve">This Purchase Order may be modified only by mutual written agreement between both parties. Cancellation of any line item after the order has been confirmed by Mason Construction Supply &amp; Materials, Inc. shall incur a 15% restocking fee on the affected materials. The buyer reserves the right to cancel the entire Purchase Order with sixty (60) days written notice prior to the first delivery date.</w:t>
      </w:r>
    </w:p>
    <w:p>
      <w:pPr>
        <w:pStyle w:val="BodyText"/>
      </w:pPr>
      <w:r>
        <w:rPr>
          <w:bCs/>
          <w:b/>
        </w:rPr>
        <w:t xml:space="preserve">5. Governing Law and Jurisdiction:</w:t>
      </w:r>
      <w:r>
        <w:t xml:space="preserve"> </w:t>
      </w:r>
      <w:r>
        <w:t xml:space="preserve">This Purchase Order shall be governed by and construed in accordance with the laws of the State of Florida, United States. Any disputes arising from this Purchase Order shall be resolved through binding arbitration in Miami, Florida, in accordance with the rules of the American Arbitration Association. The venue for all legal proceedings shall be the federal or state courts located in Miami-Dade County, United States Miami.</w:t>
      </w:r>
    </w:p>
    <w:p>
      <w:pPr>
        <w:pStyle w:val="BodyText"/>
      </w:pPr>
      <w:r>
        <w:rPr>
          <w:bCs/>
          <w:b/>
        </w:rPr>
        <w:t xml:space="preserve">6. Insurance and Liability:</w:t>
      </w:r>
      <w:r>
        <w:t xml:space="preserve"> </w:t>
      </w:r>
      <w:r>
        <w:t xml:space="preserve">Mason Construction Supply &amp; Materials, Inc. shall maintain general liability insurance of no less than $2,000,000 per occurrence and workers' compensation coverage for all mason labor personnel. The supplier shall indemnify and hold harmless the buyer against any claims, damages, or liabilities arising from defective Mason materials or negligent workmanship.</w:t>
      </w:r>
    </w:p>
    <w:p>
      <w:pPr>
        <w:pStyle w:val="BodyText"/>
      </w:pPr>
      <w:r>
        <w:rPr>
          <w:bCs/>
          <w:b/>
        </w:rPr>
        <w:t xml:space="preserve">7. Force Majeure:</w:t>
      </w:r>
      <w:r>
        <w:t xml:space="preserve"> </w:t>
      </w:r>
      <w:r>
        <w:t xml:space="preserve">Neither party shall be liable for delays caused by acts of God, hurricanes, tropical storms, or other natural events common to the United States Miami region, provided that the affected party gives written notice within forty-eight (48) hours of the event.</w:t>
      </w:r>
    </w:p>
    <w:bookmarkEnd w:id="24"/>
    <w:bookmarkStart w:id="25" w:name="authorization-and-acceptance"/>
    <w:p>
      <w:pPr>
        <w:pStyle w:val="Heading2"/>
      </w:pPr>
      <w:r>
        <w:t xml:space="preserve">Authorization and Acceptance</w:t>
      </w:r>
    </w:p>
    <w:p>
      <w:pPr>
        <w:pStyle w:val="FirstParagraph"/>
      </w:pPr>
      <w:r>
        <w:t xml:space="preserve">By signing below, both parties acknowledge and agree to all terms, conditions, and obligations set forth in this Purchase Order. This document constitutes a binding agreement between South Florida Development Group, LLC and Mason Construction Supply &amp; Materials, Inc. for the procurement of masonry materials and services in the United States Miami area.</w:t>
      </w:r>
    </w:p>
    <w:p>
      <w:pPr>
        <w:pStyle w:val="BodyText"/>
      </w:pPr>
      <w:r>
        <w:rPr>
          <w:bCs/>
          <w:b/>
        </w:rPr>
        <w:t xml:space="preserve">For: South Florida Development Group, LLC (Buyer)</w:t>
      </w:r>
    </w:p>
    <w:p>
      <w:pPr>
        <w:pStyle w:val="BodyText"/>
      </w:pPr>
      <w:r>
        <w:t xml:space="preserve">Authorized Signature</w:t>
      </w:r>
    </w:p>
    <w:p>
      <w:pPr>
        <w:pStyle w:val="BodyText"/>
      </w:pPr>
      <w:r>
        <w:t xml:space="preserve">Name: Robert A. Castellano</w:t>
      </w:r>
    </w:p>
    <w:p>
      <w:pPr>
        <w:pStyle w:val="BodyText"/>
      </w:pPr>
      <w:r>
        <w:t xml:space="preserve">Title: Director of Procurement</w:t>
      </w:r>
    </w:p>
    <w:p>
      <w:pPr>
        <w:pStyle w:val="BodyText"/>
      </w:pPr>
      <w:r>
        <w:t xml:space="preserve">Date: _______________</w:t>
      </w:r>
    </w:p>
    <w:p>
      <w:pPr>
        <w:pStyle w:val="BodyText"/>
      </w:pPr>
      <w:r>
        <w:rPr>
          <w:bCs/>
          <w:b/>
        </w:rPr>
        <w:t xml:space="preserve">For: Mason Construction Supply &amp; Materials, Inc. (Supplier)</w:t>
      </w:r>
    </w:p>
    <w:p>
      <w:pPr>
        <w:pStyle w:val="BodyText"/>
      </w:pPr>
      <w:r>
        <w:t xml:space="preserve">Authorized Signature</w:t>
      </w:r>
    </w:p>
    <w:p>
      <w:pPr>
        <w:pStyle w:val="BodyText"/>
      </w:pPr>
      <w:r>
        <w:t xml:space="preserve">Name: Maria E. Vasquez</w:t>
      </w:r>
    </w:p>
    <w:p>
      <w:pPr>
        <w:pStyle w:val="BodyText"/>
      </w:pPr>
      <w:r>
        <w:t xml:space="preserve">Title: Vice President, Sales &amp; Operations</w:t>
      </w:r>
    </w:p>
    <w:p>
      <w:pPr>
        <w:pStyle w:val="BodyText"/>
      </w:pPr>
      <w:r>
        <w:t xml:space="preserve">Date: _______________</w:t>
      </w:r>
    </w:p>
    <w:p>
      <w:pPr>
        <w:pStyle w:val="BodyText"/>
      </w:pPr>
      <w:r>
        <w:t xml:space="preserve">This Purchase Order (PO MIA-2025-04872) was prepared and issued in Miami, Florida, United States. All references to Mason materials, Mason compliance, and Mason-grade specifications pertain to the product and service standards established by Mason Construction Supply &amp; Materials, Inc. This document is valid for a period of thirty (30) days from the date of issue. For questions regarding this Purchase Order, contact the procurement office at procurement@sfdg-miami.com or (305) 555-0147.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Construction Supply - United States Miami</dc:title>
  <dc:creator/>
  <dc:language>en</dc:language>
  <cp:keywords/>
  <dcterms:created xsi:type="dcterms:W3CDTF">2026-10-10T07:35:17Z</dcterms:created>
  <dcterms:modified xsi:type="dcterms:W3CDTF">2026-10-10T07:35:17Z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