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Construction</w:t>
      </w:r>
      <w:r>
        <w:t xml:space="preserve"> </w:t>
      </w:r>
      <w:r>
        <w:t xml:space="preserve">&amp;</w:t>
      </w:r>
      <w:r>
        <w:t xml:space="preserve"> </w:t>
      </w:r>
      <w:r>
        <w:t xml:space="preserve">Stoneworks</w:t>
      </w:r>
      <w:r>
        <w:t xml:space="preserve"> </w:t>
      </w:r>
      <w:r>
        <w:t xml:space="preserve">LLC</w:t>
      </w:r>
    </w:p>
    <w:bookmarkStart w:id="20" w:name="purchase-order"/>
    <w:p>
      <w:pPr>
        <w:pStyle w:val="Heading1"/>
      </w:pPr>
      <w:r>
        <w:t xml:space="preserve">PURCHASE ORDER</w:t>
      </w:r>
    </w:p>
    <w:p>
      <w:pPr>
        <w:pStyle w:val="FirstParagraph"/>
      </w:pPr>
      <w:r>
        <w:t xml:space="preserve">Official Procurement Document — United States New York City</w:t>
      </w:r>
    </w:p>
    <w:p>
      <w:pPr>
        <w:pStyle w:val="BodyText"/>
      </w:pPr>
      <w:r>
        <w:t xml:space="preserve">This Purchase Order is issued in accordance with the commercial regulations of the State of New York and the municipal procurement guidelines of the City of New York, United States.</w:t>
      </w:r>
    </w:p>
    <w:bookmarkEnd w:id="20"/>
    <w:p>
      <w:pPr>
        <w:pStyle w:val="BodyText"/>
      </w:pPr>
      <w:r>
        <w:rPr>
          <w:bCs/>
          <w:b/>
        </w:rPr>
        <w:t xml:space="preserve">Purchase Order Number:</w:t>
      </w:r>
      <w:r>
        <w:t xml:space="preserve"> </w:t>
      </w:r>
      <w:r>
        <w:t xml:space="preserve">PO-NYC-2025-04871</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Valid Until:</w:t>
      </w:r>
      <w:r>
        <w:t xml:space="preserve"> </w:t>
      </w:r>
      <w:r>
        <w:t xml:space="preserve">August 15, 2025</w:t>
      </w:r>
    </w:p>
    <w:bookmarkStart w:id="23" w:name="parties-to-this-purchase-order"/>
    <w:p>
      <w:pPr>
        <w:pStyle w:val="Heading2"/>
      </w:pPr>
      <w:r>
        <w:t xml:space="preserve">Parties to This Purchase Order</w:t>
      </w:r>
    </w:p>
    <w:bookmarkStart w:id="21" w:name="buyer-issuing-party"/>
    <w:p>
      <w:pPr>
        <w:pStyle w:val="Heading3"/>
      </w:pPr>
      <w:r>
        <w:t xml:space="preserve">BUYER (Issuing Party)</w:t>
      </w:r>
    </w:p>
    <w:p>
      <w:pPr>
        <w:pStyle w:val="FirstParagraph"/>
      </w:pPr>
      <w:r>
        <w:rPr>
          <w:bCs/>
          <w:b/>
        </w:rPr>
        <w:t xml:space="preserve">Empire State Development Group, Inc.</w:t>
      </w:r>
    </w:p>
    <w:p>
      <w:pPr>
        <w:pStyle w:val="BodyText"/>
      </w:pPr>
      <w:r>
        <w:t xml:space="preserve">1285 Avenue of the Americas, 34th Floor</w:t>
      </w:r>
    </w:p>
    <w:p>
      <w:pPr>
        <w:pStyle w:val="BodyText"/>
      </w:pPr>
      <w:r>
        <w:t xml:space="preserve">New York, NY 10020</w:t>
      </w:r>
    </w:p>
    <w:p>
      <w:pPr>
        <w:pStyle w:val="BodyText"/>
      </w:pPr>
      <w:r>
        <w:t xml:space="preserve">United States New York City</w:t>
      </w:r>
    </w:p>
    <w:p>
      <w:pPr>
        <w:pStyle w:val="BodyText"/>
      </w:pPr>
      <w:r>
        <w:t xml:space="preserve">Phone: (212) 555-0147</w:t>
      </w:r>
    </w:p>
    <w:p>
      <w:pPr>
        <w:pStyle w:val="BodyText"/>
      </w:pPr>
      <w:r>
        <w:t xml:space="preserve">Email: procurement@esdg-inc.com</w:t>
      </w:r>
    </w:p>
    <w:p>
      <w:pPr>
        <w:pStyle w:val="BodyText"/>
      </w:pPr>
      <w:r>
        <w:t xml:space="preserve">NYC Business License: #NYC-BL-2019-88432</w:t>
      </w:r>
    </w:p>
    <w:bookmarkEnd w:id="21"/>
    <w:bookmarkStart w:id="22" w:name="seller-supplier"/>
    <w:p>
      <w:pPr>
        <w:pStyle w:val="Heading3"/>
      </w:pPr>
      <w:r>
        <w:t xml:space="preserve">SELLER / SUPPLIER</w:t>
      </w:r>
    </w:p>
    <w:p>
      <w:pPr>
        <w:pStyle w:val="FirstParagraph"/>
      </w:pPr>
      <w:r>
        <w:rPr>
          <w:bCs/>
          <w:b/>
        </w:rPr>
        <w:t xml:space="preserve">Mason Construction &amp; Stoneworks LLC</w:t>
      </w:r>
    </w:p>
    <w:p>
      <w:pPr>
        <w:pStyle w:val="BodyText"/>
      </w:pPr>
      <w:r>
        <w:t xml:space="preserve">472 West 23rd Street, Unit 5B</w:t>
      </w:r>
    </w:p>
    <w:p>
      <w:pPr>
        <w:pStyle w:val="BodyText"/>
      </w:pPr>
      <w:r>
        <w:t xml:space="preserve">New York, NY 10011</w:t>
      </w:r>
    </w:p>
    <w:p>
      <w:pPr>
        <w:pStyle w:val="BodyText"/>
      </w:pPr>
      <w:r>
        <w:t xml:space="preserve">United States New York City</w:t>
      </w:r>
    </w:p>
    <w:p>
      <w:pPr>
        <w:pStyle w:val="BodyText"/>
      </w:pPr>
      <w:r>
        <w:t xml:space="preserve">Phone: (212) 555-0392</w:t>
      </w:r>
    </w:p>
    <w:p>
      <w:pPr>
        <w:pStyle w:val="BodyText"/>
      </w:pPr>
      <w:r>
        <w:t xml:space="preserve">Email: orders@masonstoneworks.com</w:t>
      </w:r>
    </w:p>
    <w:p>
      <w:pPr>
        <w:pStyle w:val="BodyText"/>
      </w:pPr>
      <w:r>
        <w:t xml:space="preserve">NYC Contractor License: #NYC-CL-2016-44210</w:t>
      </w:r>
    </w:p>
    <w:p>
      <w:pPr>
        <w:pStyle w:val="BodyText"/>
      </w:pPr>
      <w:r>
        <w:t xml:space="preserve">NY State DOS Registration: #MASON-LLC-2016-7789</w:t>
      </w:r>
    </w:p>
    <w:bookmarkEnd w:id="22"/>
    <w:bookmarkEnd w:id="23"/>
    <w:bookmarkStart w:id="24" w:name="project-reference"/>
    <w:p>
      <w:pPr>
        <w:pStyle w:val="Heading2"/>
      </w:pPr>
      <w:r>
        <w:t xml:space="preserve">Project Reference</w:t>
      </w:r>
    </w:p>
    <w:p>
      <w:pPr>
        <w:pStyle w:val="FirstParagraph"/>
      </w:pPr>
      <w:r>
        <w:t xml:space="preserve">This Purchase Order is issued in connection with the</w:t>
      </w:r>
      <w:r>
        <w:t xml:space="preserve"> </w:t>
      </w:r>
      <w:r>
        <w:rPr>
          <w:bCs/>
          <w:b/>
        </w:rPr>
        <w:t xml:space="preserve">Heritage Restoration Project</w:t>
      </w:r>
      <w:r>
        <w:t xml:space="preserve"> </w:t>
      </w:r>
      <w:r>
        <w:t xml:space="preserve">located at 214 Grand Street, SoHo District, United States New York City. The project involves the restoration and reconstruction of historic masonry facades, interior stone walls, and decorative stonework elements in compliance with the New York City Landmarks Preservation Commission (LPC) guidelines and the NYC Building Code (Title 28 of the Administrative Code of the City of New York).</w:t>
      </w:r>
    </w:p>
    <w:bookmarkEnd w:id="24"/>
    <w:bookmarkStart w:id="25" w:name="X254d5a14b5127886b578a7358badbc51edcfd89"/>
    <w:p>
      <w:pPr>
        <w:pStyle w:val="Heading2"/>
      </w:pPr>
      <w:r>
        <w:t xml:space="preserve">Line Items — Masonry Materials and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Line Total (USD)</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Indiana Limestone, honed finish, 24" x 12" x 3" blocks (Mason Grade A)</w:t>
            </w:r>
          </w:p>
        </w:tc>
        <w:tc>
          <w:tcPr/>
          <w:p>
            <w:pPr>
              <w:pStyle w:val="Compact"/>
              <w:jc w:val="left"/>
            </w:pPr>
            <w:r>
              <w:t xml:space="preserve">1,200</w:t>
            </w:r>
          </w:p>
        </w:tc>
        <w:tc>
          <w:tcPr/>
          <w:p>
            <w:pPr>
              <w:pStyle w:val="Compact"/>
              <w:jc w:val="left"/>
            </w:pPr>
            <w:r>
              <w:t xml:space="preserve">Blocks</w:t>
            </w:r>
          </w:p>
        </w:tc>
        <w:tc>
          <w:tcPr/>
          <w:p>
            <w:pPr>
              <w:pStyle w:val="Compact"/>
              <w:jc w:val="left"/>
            </w:pPr>
            <w:r>
              <w:t xml:space="preserve">$48.50</w:t>
            </w:r>
          </w:p>
        </w:tc>
        <w:tc>
          <w:tcPr/>
          <w:p>
            <w:pPr>
              <w:pStyle w:val="Compact"/>
              <w:jc w:val="left"/>
            </w:pPr>
            <w:r>
              <w:t xml:space="preserve">$58,200.00</w:t>
            </w:r>
          </w:p>
        </w:tc>
        <w:tc>
          <w:tcPr/>
          <w:p>
            <w:pPr>
              <w:pStyle w:val="Compact"/>
              <w:jc w:val="left"/>
            </w:pPr>
            <w:r>
              <w:t xml:space="preserve">July 1, 2025</w:t>
            </w:r>
          </w:p>
        </w:tc>
      </w:tr>
      <w:tr>
        <w:tc>
          <w:tcPr/>
          <w:p>
            <w:pPr>
              <w:pStyle w:val="Compact"/>
              <w:jc w:val="left"/>
            </w:pPr>
            <w:r>
              <w:t xml:space="preserve">2</w:t>
            </w:r>
          </w:p>
        </w:tc>
        <w:tc>
          <w:tcPr/>
          <w:p>
            <w:pPr>
              <w:pStyle w:val="Compact"/>
              <w:jc w:val="left"/>
            </w:pPr>
            <w:r>
              <w:t xml:space="preserve">Portland Cement Type I/II, 94 lb bags (Mason-approved batch)</w:t>
            </w:r>
          </w:p>
        </w:tc>
        <w:tc>
          <w:tcPr/>
          <w:p>
            <w:pPr>
              <w:pStyle w:val="Compact"/>
              <w:jc w:val="left"/>
            </w:pPr>
            <w:r>
              <w:t xml:space="preserve">850</w:t>
            </w:r>
          </w:p>
        </w:tc>
        <w:tc>
          <w:tcPr/>
          <w:p>
            <w:pPr>
              <w:pStyle w:val="Compact"/>
              <w:jc w:val="left"/>
            </w:pPr>
            <w:r>
              <w:t xml:space="preserve">Bags</w:t>
            </w:r>
          </w:p>
        </w:tc>
        <w:tc>
          <w:tcPr/>
          <w:p>
            <w:pPr>
              <w:pStyle w:val="Compact"/>
              <w:jc w:val="left"/>
            </w:pPr>
            <w:r>
              <w:t xml:space="preserve">$12.75</w:t>
            </w:r>
          </w:p>
        </w:tc>
        <w:tc>
          <w:tcPr/>
          <w:p>
            <w:pPr>
              <w:pStyle w:val="Compact"/>
              <w:jc w:val="left"/>
            </w:pPr>
            <w:r>
              <w:t xml:space="preserve">$10,837.50</w:t>
            </w:r>
          </w:p>
        </w:tc>
        <w:tc>
          <w:tcPr/>
          <w:p>
            <w:pPr>
              <w:pStyle w:val="Compact"/>
              <w:jc w:val="left"/>
            </w:pPr>
            <w:r>
              <w:t xml:space="preserve">July 1, 2025</w:t>
            </w:r>
          </w:p>
        </w:tc>
      </w:tr>
      <w:tr>
        <w:tc>
          <w:tcPr/>
          <w:p>
            <w:pPr>
              <w:pStyle w:val="Compact"/>
              <w:jc w:val="left"/>
            </w:pPr>
            <w:r>
              <w:t xml:space="preserve">3</w:t>
            </w:r>
          </w:p>
        </w:tc>
        <w:tc>
          <w:tcPr/>
          <w:p>
            <w:pPr>
              <w:pStyle w:val="Compact"/>
              <w:jc w:val="left"/>
            </w:pPr>
            <w:r>
              <w:t xml:space="preserve">Coarse Masonry Sand, washed, 1/4" max aggregate</w:t>
            </w:r>
          </w:p>
        </w:tc>
        <w:tc>
          <w:tcPr/>
          <w:p>
            <w:pPr>
              <w:pStyle w:val="Compact"/>
              <w:jc w:val="left"/>
            </w:pPr>
            <w:r>
              <w:t xml:space="preserve">45</w:t>
            </w:r>
          </w:p>
        </w:tc>
        <w:tc>
          <w:tcPr/>
          <w:p>
            <w:pPr>
              <w:pStyle w:val="Compact"/>
              <w:jc w:val="left"/>
            </w:pPr>
            <w:r>
              <w:t xml:space="preserve">Yards</w:t>
            </w:r>
          </w:p>
        </w:tc>
        <w:tc>
          <w:tcPr/>
          <w:p>
            <w:pPr>
              <w:pStyle w:val="Compact"/>
              <w:jc w:val="left"/>
            </w:pPr>
            <w:r>
              <w:t xml:space="preserve">$89.00</w:t>
            </w:r>
          </w:p>
        </w:tc>
        <w:tc>
          <w:tcPr/>
          <w:p>
            <w:pPr>
              <w:pStyle w:val="Compact"/>
              <w:jc w:val="left"/>
            </w:pPr>
            <w:r>
              <w:t xml:space="preserve">$4,005.00</w:t>
            </w:r>
          </w:p>
        </w:tc>
        <w:tc>
          <w:tcPr/>
          <w:p>
            <w:pPr>
              <w:pStyle w:val="Compact"/>
              <w:jc w:val="left"/>
            </w:pPr>
            <w:r>
              <w:t xml:space="preserve">July 3, 2025</w:t>
            </w:r>
          </w:p>
        </w:tc>
      </w:tr>
      <w:tr>
        <w:tc>
          <w:tcPr/>
          <w:p>
            <w:pPr>
              <w:pStyle w:val="Compact"/>
              <w:jc w:val="left"/>
            </w:pPr>
            <w:r>
              <w:t xml:space="preserve">4</w:t>
            </w:r>
          </w:p>
        </w:tc>
        <w:tc>
          <w:tcPr/>
          <w:p>
            <w:pPr>
              <w:pStyle w:val="Compact"/>
              <w:jc w:val="left"/>
            </w:pPr>
            <w:r>
              <w:t xml:space="preserve">Decorative Cornice Molding, carved limestone, custom profile per Mason drawing set #MS-2025-04</w:t>
            </w:r>
          </w:p>
        </w:tc>
        <w:tc>
          <w:tcPr/>
          <w:p>
            <w:pPr>
              <w:pStyle w:val="Compact"/>
              <w:jc w:val="left"/>
            </w:pPr>
            <w:r>
              <w:t xml:space="preserve">32</w:t>
            </w:r>
          </w:p>
        </w:tc>
        <w:tc>
          <w:tcPr/>
          <w:p>
            <w:pPr>
              <w:pStyle w:val="Compact"/>
              <w:jc w:val="left"/>
            </w:pPr>
            <w:r>
              <w:t xml:space="preserve">Linear ft</w:t>
            </w:r>
          </w:p>
        </w:tc>
        <w:tc>
          <w:tcPr/>
          <w:p>
            <w:pPr>
              <w:pStyle w:val="Compact"/>
              <w:jc w:val="left"/>
            </w:pPr>
            <w:r>
              <w:t xml:space="preserve">$312.00</w:t>
            </w:r>
          </w:p>
        </w:tc>
        <w:tc>
          <w:tcPr/>
          <w:p>
            <w:pPr>
              <w:pStyle w:val="Compact"/>
              <w:jc w:val="left"/>
            </w:pPr>
            <w:r>
              <w:t xml:space="preserve">$9,984.00</w:t>
            </w:r>
          </w:p>
        </w:tc>
        <w:tc>
          <w:tcPr/>
          <w:p>
            <w:pPr>
              <w:pStyle w:val="Compact"/>
              <w:jc w:val="left"/>
            </w:pPr>
            <w:r>
              <w:t xml:space="preserve">July 10, 2025</w:t>
            </w:r>
          </w:p>
        </w:tc>
      </w:tr>
      <w:tr>
        <w:tc>
          <w:tcPr/>
          <w:p>
            <w:pPr>
              <w:pStyle w:val="Compact"/>
              <w:jc w:val="left"/>
            </w:pPr>
            <w:r>
              <w:t xml:space="preserve">5</w:t>
            </w:r>
          </w:p>
        </w:tc>
        <w:tc>
          <w:tcPr/>
          <w:p>
            <w:pPr>
              <w:pStyle w:val="Compact"/>
              <w:jc w:val="left"/>
            </w:pPr>
            <w:r>
              <w:t xml:space="preserve">Stainless Steel Masonry Tie Bars, 3/8" diameter, 48" length</w:t>
            </w:r>
          </w:p>
        </w:tc>
        <w:tc>
          <w:tcPr/>
          <w:p>
            <w:pPr>
              <w:pStyle w:val="Compact"/>
              <w:jc w:val="left"/>
            </w:pPr>
            <w:r>
              <w:t xml:space="preserve">2,400</w:t>
            </w:r>
          </w:p>
        </w:tc>
        <w:tc>
          <w:tcPr/>
          <w:p>
            <w:pPr>
              <w:pStyle w:val="Compact"/>
              <w:jc w:val="left"/>
            </w:pPr>
            <w:r>
              <w:t xml:space="preserve">Bars</w:t>
            </w:r>
          </w:p>
        </w:tc>
        <w:tc>
          <w:tcPr/>
          <w:p>
            <w:pPr>
              <w:pStyle w:val="Compact"/>
              <w:jc w:val="left"/>
            </w:pPr>
            <w:r>
              <w:t xml:space="preserve">$6.20</w:t>
            </w:r>
          </w:p>
        </w:tc>
        <w:tc>
          <w:tcPr/>
          <w:p>
            <w:pPr>
              <w:pStyle w:val="Compact"/>
              <w:jc w:val="left"/>
            </w:pPr>
            <w:r>
              <w:t xml:space="preserve">$14,880.00</w:t>
            </w:r>
          </w:p>
        </w:tc>
        <w:tc>
          <w:tcPr/>
          <w:p>
            <w:pPr>
              <w:pStyle w:val="Compact"/>
              <w:jc w:val="left"/>
            </w:pPr>
            <w:r>
              <w:t xml:space="preserve">July 5, 2025</w:t>
            </w:r>
          </w:p>
        </w:tc>
      </w:tr>
      <w:tr>
        <w:tc>
          <w:tcPr/>
          <w:p>
            <w:pPr>
              <w:pStyle w:val="Compact"/>
              <w:jc w:val="left"/>
            </w:pPr>
            <w:r>
              <w:t xml:space="preserve">6</w:t>
            </w:r>
          </w:p>
        </w:tc>
        <w:tc>
          <w:tcPr/>
          <w:p>
            <w:pPr>
              <w:pStyle w:val="Compact"/>
              <w:jc w:val="left"/>
            </w:pPr>
            <w:r>
              <w:t xml:space="preserve">Professional Masonry Labor — skilled stonemasons and apprentices (Mason crew, 6 workers)</w:t>
            </w:r>
          </w:p>
        </w:tc>
        <w:tc>
          <w:tcPr/>
          <w:p>
            <w:pPr>
              <w:pStyle w:val="Compact"/>
              <w:jc w:val="left"/>
            </w:pPr>
            <w:r>
              <w:t xml:space="preserve">1,800</w:t>
            </w:r>
          </w:p>
        </w:tc>
        <w:tc>
          <w:tcPr/>
          <w:p>
            <w:pPr>
              <w:pStyle w:val="Compact"/>
              <w:jc w:val="left"/>
            </w:pPr>
            <w:r>
              <w:t xml:space="preserve">Hours</w:t>
            </w:r>
          </w:p>
        </w:tc>
        <w:tc>
          <w:tcPr/>
          <w:p>
            <w:pPr>
              <w:pStyle w:val="Compact"/>
              <w:jc w:val="left"/>
            </w:pPr>
            <w:r>
              <w:t xml:space="preserve">$78.00</w:t>
            </w:r>
          </w:p>
        </w:tc>
        <w:tc>
          <w:tcPr/>
          <w:p>
            <w:pPr>
              <w:pStyle w:val="Compact"/>
              <w:jc w:val="left"/>
            </w:pPr>
            <w:r>
              <w:t xml:space="preserve">$140,400.00</w:t>
            </w:r>
          </w:p>
        </w:tc>
        <w:tc>
          <w:tcPr/>
          <w:p>
            <w:pPr>
              <w:pStyle w:val="Compact"/>
              <w:jc w:val="left"/>
            </w:pPr>
            <w:r>
              <w:t xml:space="preserve">July 15, 2025</w:t>
            </w:r>
          </w:p>
        </w:tc>
      </w:tr>
      <w:tr>
        <w:tc>
          <w:tcPr/>
          <w:p>
            <w:pPr>
              <w:pStyle w:val="Compact"/>
              <w:jc w:val="left"/>
            </w:pPr>
            <w:r>
              <w:t xml:space="preserve">7</w:t>
            </w:r>
          </w:p>
        </w:tc>
        <w:tc>
          <w:tcPr/>
          <w:p>
            <w:pPr>
              <w:pStyle w:val="Compact"/>
              <w:jc w:val="left"/>
            </w:pPr>
            <w:r>
              <w:t xml:space="preserve">Waterproofing Membrane for Masonry Joints, elastomeric, 50 ft rolls</w:t>
            </w:r>
          </w:p>
        </w:tc>
        <w:tc>
          <w:tcPr/>
          <w:p>
            <w:pPr>
              <w:pStyle w:val="Compact"/>
              <w:jc w:val="left"/>
            </w:pPr>
            <w:r>
              <w:t xml:space="preserve">60</w:t>
            </w:r>
          </w:p>
        </w:tc>
        <w:tc>
          <w:tcPr/>
          <w:p>
            <w:pPr>
              <w:pStyle w:val="Compact"/>
              <w:jc w:val="left"/>
            </w:pPr>
            <w:r>
              <w:t xml:space="preserve">Rolls</w:t>
            </w:r>
          </w:p>
        </w:tc>
        <w:tc>
          <w:tcPr/>
          <w:p>
            <w:pPr>
              <w:pStyle w:val="Compact"/>
              <w:jc w:val="left"/>
            </w:pPr>
            <w:r>
              <w:t xml:space="preserve">$134.00</w:t>
            </w:r>
          </w:p>
        </w:tc>
        <w:tc>
          <w:tcPr/>
          <w:p>
            <w:pPr>
              <w:pStyle w:val="Compact"/>
              <w:jc w:val="left"/>
            </w:pPr>
            <w:r>
              <w:t xml:space="preserve">$8,040.00</w:t>
            </w:r>
          </w:p>
        </w:tc>
        <w:tc>
          <w:tcPr/>
          <w:p>
            <w:pPr>
              <w:pStyle w:val="Compact"/>
              <w:jc w:val="left"/>
            </w:pPr>
            <w:r>
              <w:t xml:space="preserve">July 8, 2025</w:t>
            </w:r>
          </w:p>
        </w:tc>
      </w:tr>
      <w:tr>
        <w:tc>
          <w:tcPr/>
          <w:p>
            <w:pPr>
              <w:pStyle w:val="Compact"/>
              <w:jc w:val="left"/>
            </w:pPr>
            <w:r>
              <w:t xml:space="preserve">8</w:t>
            </w:r>
          </w:p>
        </w:tc>
        <w:tc>
          <w:tcPr/>
          <w:p>
            <w:pPr>
              <w:pStyle w:val="Compact"/>
              <w:jc w:val="left"/>
            </w:pPr>
            <w:r>
              <w:t xml:space="preserve">Site Delivery, Rigging, and NYC DOT Permitted Transport (Mason logistics team)</w:t>
            </w:r>
          </w:p>
        </w:tc>
        <w:tc>
          <w:tcPr/>
          <w:p>
            <w:pPr>
              <w:pStyle w:val="Compact"/>
              <w:jc w:val="left"/>
            </w:pPr>
            <w:r>
              <w:t xml:space="preserve">1</w:t>
            </w:r>
          </w:p>
        </w:tc>
        <w:tc>
          <w:tcPr/>
          <w:p>
            <w:pPr>
              <w:pStyle w:val="Compact"/>
              <w:jc w:val="left"/>
            </w:pPr>
            <w:r>
              <w:t xml:space="preserve">Lot</w:t>
            </w:r>
          </w:p>
        </w:tc>
        <w:tc>
          <w:tcPr/>
          <w:p>
            <w:pPr>
              <w:pStyle w:val="Compact"/>
              <w:jc w:val="left"/>
            </w:pPr>
            <w:r>
              <w:t xml:space="preserve">$6,500.00</w:t>
            </w:r>
          </w:p>
        </w:tc>
        <w:tc>
          <w:tcPr/>
          <w:p>
            <w:pPr>
              <w:pStyle w:val="Compact"/>
              <w:jc w:val="left"/>
            </w:pPr>
            <w:r>
              <w:t xml:space="preserve">$6,500.00</w:t>
            </w:r>
          </w:p>
        </w:tc>
        <w:tc>
          <w:tcPr/>
          <w:p>
            <w:pPr>
              <w:pStyle w:val="Compact"/>
              <w:jc w:val="left"/>
            </w:pPr>
            <w:r>
              <w:t xml:space="preserve">July 15, 2025</w:t>
            </w:r>
          </w:p>
        </w:tc>
      </w:tr>
    </w:tbl>
    <w:p>
      <w:pPr>
        <w:pStyle w:val="BodyText"/>
      </w:pPr>
      <w:r>
        <w:t xml:space="preserve">Subtotal: $252,846.50</w:t>
      </w:r>
    </w:p>
    <w:p>
      <w:pPr>
        <w:pStyle w:val="BodyText"/>
      </w:pPr>
      <w:r>
        <w:t xml:space="preserve">NYC Sales Tax (8.875%): $22,441.13</w:t>
      </w:r>
    </w:p>
    <w:p>
      <w:pPr>
        <w:pStyle w:val="BodyText"/>
      </w:pPr>
      <w:r>
        <w:t xml:space="preserve">NY State Excise Tax (3%): $7,585.40</w:t>
      </w:r>
    </w:p>
    <w:p>
      <w:pPr>
        <w:pStyle w:val="BodyText"/>
      </w:pPr>
      <w:r>
        <w:t xml:space="preserve">Grand Total: $282,873.03</w:t>
      </w:r>
    </w:p>
    <w:bookmarkEnd w:id="25"/>
    <w:bookmarkStart w:id="26" w:name="terms-and-conditions"/>
    <w:p>
      <w:pPr>
        <w:pStyle w:val="Heading2"/>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York and the municipal ordinances of the City of New York, United States. Any disputes arising from this Purchase Order shall be resolved in the courts of New York County, United States New York City.</w:t>
      </w:r>
    </w:p>
    <w:p>
      <w:pPr>
        <w:numPr>
          <w:ilvl w:val="0"/>
          <w:numId w:val="1001"/>
        </w:numPr>
        <w:pStyle w:val="Compact"/>
      </w:pPr>
      <w:r>
        <w:rPr>
          <w:bCs/>
          <w:b/>
        </w:rPr>
        <w:t xml:space="preserve">Payment Terms:</w:t>
      </w:r>
      <w:r>
        <w:t xml:space="preserve"> </w:t>
      </w:r>
      <w:r>
        <w:t xml:space="preserve">Net 30 days from the date of invoice receipt. Payment shall be made via ACH transfer to the bank account designated by Mason Construction &amp; Stoneworks LLC. A 1.5% monthly late fee shall apply to overdue balances in compliance with New York State Commercial Law.</w:t>
      </w:r>
    </w:p>
    <w:p>
      <w:pPr>
        <w:numPr>
          <w:ilvl w:val="0"/>
          <w:numId w:val="1001"/>
        </w:numPr>
        <w:pStyle w:val="Compact"/>
      </w:pPr>
      <w:r>
        <w:rPr>
          <w:bCs/>
          <w:b/>
        </w:rPr>
        <w:t xml:space="preserve">Delivery and Risk of Loss:</w:t>
      </w:r>
      <w:r>
        <w:t xml:space="preserve"> </w:t>
      </w:r>
      <w:r>
        <w:t xml:space="preserve">All materials shall be delivered to the project site at 214 Grand Street, United States New York City, in accordance with the delivery schedule specified above. Risk of loss transfers to the Buyer upon signed delivery receipt at the site. Mason shall coordinate all deliveries with the NYC Department of Transportation (DOT) for street closures and crane permits.</w:t>
      </w:r>
    </w:p>
    <w:p>
      <w:pPr>
        <w:numPr>
          <w:ilvl w:val="0"/>
          <w:numId w:val="1001"/>
        </w:numPr>
        <w:pStyle w:val="Compact"/>
      </w:pPr>
      <w:r>
        <w:rPr>
          <w:bCs/>
          <w:b/>
        </w:rPr>
        <w:t xml:space="preserve">Quality Assurance:</w:t>
      </w:r>
      <w:r>
        <w:t xml:space="preserve"> </w:t>
      </w:r>
      <w:r>
        <w:t xml:space="preserve">All masonry materials supplied by Mason must meet or exceed the specifications outlined in the NYC Building Code and the project's architectural drawings. The Buyer reserves the right to inspect and reject any materials that do not conform to the agreed-upon standards. Rejected materials must be replaced by Mason within five (5) business days at no additional cost.</w:t>
      </w:r>
    </w:p>
    <w:p>
      <w:pPr>
        <w:numPr>
          <w:ilvl w:val="0"/>
          <w:numId w:val="1001"/>
        </w:numPr>
        <w:pStyle w:val="Compact"/>
      </w:pPr>
      <w:r>
        <w:rPr>
          <w:bCs/>
          <w:b/>
        </w:rPr>
        <w:t xml:space="preserve">Compliance:</w:t>
      </w:r>
      <w:r>
        <w:t xml:space="preserve"> </w:t>
      </w:r>
      <w:r>
        <w:t xml:space="preserve">Mason Construction &amp; Stoneworks LLC warrants that all labor and materials provided under this Purchase Order shall comply with all applicable federal, New York State, and New York City regulations, including but not limited to OSHA safety standards, NYC environmental regulations, and the NYC Fair Workweek Act.</w:t>
      </w:r>
    </w:p>
    <w:p>
      <w:pPr>
        <w:numPr>
          <w:ilvl w:val="0"/>
          <w:numId w:val="1001"/>
        </w:numPr>
        <w:pStyle w:val="Compact"/>
      </w:pPr>
      <w:r>
        <w:rPr>
          <w:bCs/>
          <w:b/>
        </w:rPr>
        <w:t xml:space="preserve">Insurance:</w:t>
      </w:r>
      <w:r>
        <w:t xml:space="preserve"> </w:t>
      </w:r>
      <w:r>
        <w:t xml:space="preserve">Mason shall maintain, at its own expense, a minimum of $2,000,000 in general liability insurance and $1,000,000 in workers' compensation coverage for all personnel working under this Purchase Order in United States New York City. Certificates of insurance shall be provided prior to the commencement of work.</w:t>
      </w:r>
    </w:p>
    <w:p>
      <w:pPr>
        <w:numPr>
          <w:ilvl w:val="0"/>
          <w:numId w:val="1001"/>
        </w:numPr>
        <w:pStyle w:val="Compact"/>
      </w:pPr>
      <w:r>
        <w:rPr>
          <w:bCs/>
          <w:b/>
        </w:rPr>
        <w:t xml:space="preserve">Change Orders:</w:t>
      </w:r>
      <w:r>
        <w:t xml:space="preserve"> </w:t>
      </w:r>
      <w:r>
        <w:t xml:space="preserve">Any modifications to the scope, quantity, or schedule of this Purchase Order must be documented in a written Change Order signed by authorized representatives of both parties. No verbal agreements shall be binding.</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Mason shall be compensated for all work completed and materials procured up to the date of termination, less any applicable retainage.</w:t>
      </w:r>
    </w:p>
    <w:p>
      <w:pPr>
        <w:numPr>
          <w:ilvl w:val="0"/>
          <w:numId w:val="1001"/>
        </w:numPr>
        <w:pStyle w:val="Compact"/>
      </w:pPr>
      <w:r>
        <w:rPr>
          <w:bCs/>
          <w:b/>
        </w:rPr>
        <w:t xml:space="preserve">Confidentiality:</w:t>
      </w:r>
      <w:r>
        <w:t xml:space="preserve"> </w:t>
      </w:r>
      <w:r>
        <w:t xml:space="preserve">Both parties agree to maintain the confidentiality of all proprietary information exchanged in connection with this Purchase Order, in accordance with New York State confidentiality statutes.</w:t>
      </w:r>
    </w:p>
    <w:bookmarkEnd w:id="26"/>
    <w:bookmarkStart w:id="27" w:name="authorized-signatures"/>
    <w:p>
      <w:pPr>
        <w:pStyle w:val="Heading2"/>
      </w:pPr>
      <w:r>
        <w:t xml:space="preserve">Authorized Signatures</w:t>
      </w:r>
    </w:p>
    <w:p>
      <w:pPr>
        <w:pStyle w:val="FirstParagraph"/>
      </w:pPr>
      <w:r>
        <w:rPr>
          <w:bCs/>
          <w:b/>
        </w:rPr>
        <w:t xml:space="preserve">For the Buyer:</w:t>
      </w:r>
    </w:p>
    <w:p>
      <w:pPr>
        <w:pStyle w:val="BodyText"/>
      </w:pPr>
      <w:r>
        <w:t xml:space="preserve">Empire State Development Group, Inc.</w:t>
      </w:r>
    </w:p>
    <w:p>
      <w:pPr>
        <w:pStyle w:val="BodyText"/>
      </w:pPr>
      <w:r>
        <w:t xml:space="preserve">Jonathan R. Whitfield</w:t>
      </w:r>
      <w:r>
        <w:br/>
      </w:r>
      <w:r>
        <w:t xml:space="preserve">Director of Procurement</w:t>
      </w:r>
      <w:r>
        <w:br/>
      </w:r>
      <w:r>
        <w:t xml:space="preserve">Date: ____________________</w:t>
      </w:r>
    </w:p>
    <w:p>
      <w:pPr>
        <w:pStyle w:val="BodyText"/>
      </w:pPr>
      <w:r>
        <w:rPr>
          <w:bCs/>
          <w:b/>
        </w:rPr>
        <w:t xml:space="preserve">For the Seller / Supplier:</w:t>
      </w:r>
    </w:p>
    <w:p>
      <w:pPr>
        <w:pStyle w:val="BodyText"/>
      </w:pPr>
      <w:r>
        <w:t xml:space="preserve">Mason Construction &amp; Stoneworks LLC</w:t>
      </w:r>
    </w:p>
    <w:p>
      <w:pPr>
        <w:pStyle w:val="BodyText"/>
      </w:pPr>
      <w:r>
        <w:t xml:space="preserve">David A. Mason</w:t>
      </w:r>
      <w:r>
        <w:br/>
      </w:r>
      <w:r>
        <w:t xml:space="preserve">Principal &amp; Chief Stonemason</w:t>
      </w:r>
      <w:r>
        <w:br/>
      </w:r>
      <w:r>
        <w:t xml:space="preserve">Date: ____________________</w:t>
      </w:r>
    </w:p>
    <w:bookmarkEnd w:id="27"/>
    <w:p>
      <w:pPr>
        <w:pStyle w:val="BodyText"/>
      </w:pPr>
      <w:r>
        <w:t xml:space="preserve">This Purchase Order (PO-NYC-2025-04871) is a legally binding document issued in the United States New York City. It is valid only when signed by authorized representatives of both parties. This document is subject to the New York State Uniform Commercial Code (NY UCC) and all applicable local ordinances of the City of New York. Unauthorized reproduction or distribution of this Purchase Order is prohibited.</w:t>
      </w:r>
    </w:p>
    <w:p>
      <w:pPr>
        <w:pStyle w:val="BodyText"/>
      </w:pPr>
      <w:r>
        <w:t xml:space="preserve">© 2025 Empire State Development Group, Inc. — All Rights Reserved. | Mason Construction &amp; Stoneworks LLC — New York, 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Construction &amp; Stoneworks LLC</dc:title>
  <dc:creator/>
  <dc:language>en</dc:language>
  <cp:keywords/>
  <dcterms:created xsi:type="dcterms:W3CDTF">2026-10-10T06:32:47Z</dcterms:created>
  <dcterms:modified xsi:type="dcterms:W3CDTF">2026-10-10T06:32:47Z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