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Supply</w:t>
      </w:r>
      <w:r>
        <w:t xml:space="preserve"> </w:t>
      </w:r>
      <w:r>
        <w:t xml:space="preserve">Co.</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Mason Construction &amp; Supply Co. | San Francisco, United States</w:t>
      </w:r>
    </w:p>
    <w:p>
      <w:pPr>
        <w:pStyle w:val="BodyText"/>
      </w:pPr>
      <w:r>
        <w:t xml:space="preserve">Official Procurement Document – State of California</w:t>
      </w:r>
    </w:p>
    <w:bookmarkEnd w:id="20"/>
    <w:p>
      <w:pPr>
        <w:pStyle w:val="BodyText"/>
      </w:pPr>
      <w:r>
        <w:rPr>
          <w:bCs/>
          <w:b/>
        </w:rPr>
        <w:t xml:space="preserve">Purchase Order No.:</w:t>
      </w:r>
      <w:r>
        <w:t xml:space="preserve"> </w:t>
      </w:r>
      <w:r>
        <w:t xml:space="preserve">PO-SF-2025-04872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Golden Gate Infrastructure Authority</w:t>
      </w:r>
      <w:r>
        <w:br/>
      </w:r>
      <w:r>
        <w:rPr>
          <w:bCs/>
          <w:b/>
        </w:rPr>
        <w:t xml:space="preserve">Address:</w:t>
      </w:r>
      <w:r>
        <w:t xml:space="preserve"> </w:t>
      </w:r>
      <w:r>
        <w:t xml:space="preserve">1455 Market Street, Suite 2200</w:t>
      </w:r>
      <w:r>
        <w:br/>
      </w:r>
      <w:r>
        <w:rPr>
          <w:bCs/>
          <w:b/>
        </w:rPr>
        <w:t xml:space="preserve">San Francisco, CA 94102, United States</w:t>
      </w:r>
    </w:p>
    <w:p>
      <w:pPr>
        <w:pStyle w:val="BodyText"/>
      </w:pPr>
      <w:r>
        <w:rPr>
          <w:bCs/>
          <w:b/>
        </w:rPr>
        <w:t xml:space="preserve">Supplier:</w:t>
      </w:r>
      <w:r>
        <w:t xml:space="preserve"> </w:t>
      </w:r>
      <w:r>
        <w:t xml:space="preserve">Mason Construction &amp; Supply Co.</w:t>
      </w:r>
      <w:r>
        <w:br/>
      </w:r>
      <w:r>
        <w:rPr>
          <w:bCs/>
          <w:b/>
        </w:rPr>
        <w:t xml:space="preserve">Address:</w:t>
      </w:r>
      <w:r>
        <w:t xml:space="preserve"> </w:t>
      </w:r>
      <w:r>
        <w:t xml:space="preserve">892 Harrison Avenue</w:t>
      </w:r>
      <w:r>
        <w:br/>
      </w:r>
      <w:r>
        <w:rPr>
          <w:bCs/>
          <w:b/>
        </w:rPr>
        <w:t xml:space="preserve">San Francisco, CA 94110, United States</w:t>
      </w:r>
      <w:r>
        <w:br/>
      </w:r>
      <w:r>
        <w:rPr>
          <w:bCs/>
          <w:b/>
        </w:rPr>
        <w:t xml:space="preserve">Tax ID (EIN):</w:t>
      </w:r>
      <w:r>
        <w:t xml:space="preserve"> </w:t>
      </w:r>
      <w:r>
        <w:t xml:space="preserve">94-2837461</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Golden Gate Infrastructure Authority (hereinafter referred to as the "Buyer") to</w:t>
      </w:r>
      <w:r>
        <w:t xml:space="preserve"> </w:t>
      </w:r>
      <w:r>
        <w:t xml:space="preserve">Mason</w:t>
      </w:r>
      <w:r>
        <w:t xml:space="preserve"> </w:t>
      </w:r>
      <w:r>
        <w:t xml:space="preserve">Construction &amp; Supply Co. (hereinafter referred to as the "Supplier") for the procurement of masonry materials, structural stone components, and related construction services. This</w:t>
      </w:r>
      <w:r>
        <w:t xml:space="preserve"> </w:t>
      </w:r>
      <w:r>
        <w:t xml:space="preserve">Purchase Order</w:t>
      </w:r>
      <w:r>
        <w:t xml:space="preserve"> </w:t>
      </w:r>
      <w:r>
        <w:t xml:space="preserve">governs all terms, conditions, pricing, and delivery obligations for the project located within the city and county of</w:t>
      </w:r>
      <w:r>
        <w:t xml:space="preserve"> </w:t>
      </w:r>
      <w:r>
        <w:t xml:space="preserve">San Francisco</w:t>
      </w:r>
      <w:r>
        <w:t xml:space="preserve">,</w:t>
      </w:r>
      <w:r>
        <w:t xml:space="preserve"> </w:t>
      </w:r>
      <w:r>
        <w:t xml:space="preserve">United States</w:t>
      </w:r>
      <w:r>
        <w:t xml:space="preserve">. The Supplier,</w:t>
      </w:r>
      <w:r>
        <w:t xml:space="preserve"> </w:t>
      </w:r>
      <w:r>
        <w:t xml:space="preserve">Mason</w:t>
      </w:r>
      <w:r>
        <w:t xml:space="preserve">, acknowledges receipt of this</w:t>
      </w:r>
      <w:r>
        <w:t xml:space="preserve"> </w:t>
      </w:r>
      <w:r>
        <w:t xml:space="preserve">Purchase Order</w:t>
      </w:r>
      <w:r>
        <w:t xml:space="preserve"> </w:t>
      </w:r>
      <w:r>
        <w:t xml:space="preserve">and agrees to fulfill all obligations herein in accordance with California state law and the municipal codes of</w:t>
      </w:r>
      <w:r>
        <w:t xml:space="preserve"> </w:t>
      </w:r>
      <w:r>
        <w:t xml:space="preserve">San Francisco</w:t>
      </w:r>
      <w:r>
        <w:t xml:space="preserve">.</w:t>
      </w:r>
    </w:p>
    <w:p>
      <w:pPr>
        <w:pStyle w:val="BodyText"/>
      </w:pPr>
      <w:r>
        <w:t xml:space="preserve">2. 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Portland Cement Type I/II, 94-lb bags (Mason-approved batch)</w:t>
            </w:r>
          </w:p>
        </w:tc>
        <w:tc>
          <w:tcPr/>
          <w:p>
            <w:pPr>
              <w:pStyle w:val="Compact"/>
              <w:jc w:val="left"/>
            </w:pPr>
            <w:r>
              <w:t xml:space="preserve">2,400</w:t>
            </w:r>
          </w:p>
        </w:tc>
        <w:tc>
          <w:tcPr/>
          <w:p>
            <w:pPr>
              <w:pStyle w:val="Compact"/>
              <w:jc w:val="left"/>
            </w:pPr>
            <w:r>
              <w:t xml:space="preserve">bags</w:t>
            </w:r>
          </w:p>
        </w:tc>
        <w:tc>
          <w:tcPr/>
          <w:p>
            <w:pPr>
              <w:pStyle w:val="Compact"/>
              <w:jc w:val="left"/>
            </w:pPr>
            <w:r>
              <w:t xml:space="preserve">$12.50</w:t>
            </w:r>
          </w:p>
        </w:tc>
        <w:tc>
          <w:tcPr/>
          <w:p>
            <w:pPr>
              <w:pStyle w:val="Compact"/>
              <w:jc w:val="left"/>
            </w:pPr>
            <w:r>
              <w:t xml:space="preserve">$30,000.00</w:t>
            </w:r>
          </w:p>
        </w:tc>
      </w:tr>
      <w:tr>
        <w:tc>
          <w:tcPr/>
          <w:p>
            <w:pPr>
              <w:pStyle w:val="Compact"/>
              <w:jc w:val="left"/>
            </w:pPr>
            <w:r>
              <w:t xml:space="preserve">002</w:t>
            </w:r>
          </w:p>
        </w:tc>
        <w:tc>
          <w:tcPr/>
          <w:p>
            <w:pPr>
              <w:pStyle w:val="Compact"/>
              <w:jc w:val="left"/>
            </w:pPr>
            <w:r>
              <w:t xml:space="preserve">Granite Set Stones, 12" x 24" x 3", San Francisco local quarry</w:t>
            </w:r>
          </w:p>
        </w:tc>
        <w:tc>
          <w:tcPr/>
          <w:p>
            <w:pPr>
              <w:pStyle w:val="Compact"/>
              <w:jc w:val="left"/>
            </w:pPr>
            <w:r>
              <w:t xml:space="preserve">1,850</w:t>
            </w:r>
          </w:p>
        </w:tc>
        <w:tc>
          <w:tcPr/>
          <w:p>
            <w:pPr>
              <w:pStyle w:val="Compact"/>
              <w:jc w:val="left"/>
            </w:pPr>
            <w:r>
              <w:t xml:space="preserve">pieces</w:t>
            </w:r>
          </w:p>
        </w:tc>
        <w:tc>
          <w:tcPr/>
          <w:p>
            <w:pPr>
              <w:pStyle w:val="Compact"/>
              <w:jc w:val="left"/>
            </w:pPr>
            <w:r>
              <w:t xml:space="preserve">$48.75</w:t>
            </w:r>
          </w:p>
        </w:tc>
        <w:tc>
          <w:tcPr/>
          <w:p>
            <w:pPr>
              <w:pStyle w:val="Compact"/>
              <w:jc w:val="left"/>
            </w:pPr>
            <w:r>
              <w:t xml:space="preserve">$90,187.50</w:t>
            </w:r>
          </w:p>
        </w:tc>
      </w:tr>
      <w:tr>
        <w:tc>
          <w:tcPr/>
          <w:p>
            <w:pPr>
              <w:pStyle w:val="Compact"/>
              <w:jc w:val="left"/>
            </w:pPr>
            <w:r>
              <w:t xml:space="preserve">003</w:t>
            </w:r>
          </w:p>
        </w:tc>
        <w:tc>
          <w:tcPr/>
          <w:p>
            <w:pPr>
              <w:pStyle w:val="Compact"/>
              <w:jc w:val="left"/>
            </w:pPr>
            <w:r>
              <w:t xml:space="preserve">Reinforced Masonry Units (CMU), 8" x 8" x 16", Class S</w:t>
            </w:r>
          </w:p>
        </w:tc>
        <w:tc>
          <w:tcPr/>
          <w:p>
            <w:pPr>
              <w:pStyle w:val="Compact"/>
              <w:jc w:val="left"/>
            </w:pPr>
            <w:r>
              <w:t xml:space="preserve">6,200</w:t>
            </w:r>
          </w:p>
        </w:tc>
        <w:tc>
          <w:tcPr/>
          <w:p>
            <w:pPr>
              <w:pStyle w:val="Compact"/>
              <w:jc w:val="left"/>
            </w:pPr>
            <w:r>
              <w:t xml:space="preserve">units</w:t>
            </w:r>
          </w:p>
        </w:tc>
        <w:tc>
          <w:tcPr/>
          <w:p>
            <w:pPr>
              <w:pStyle w:val="Compact"/>
              <w:jc w:val="left"/>
            </w:pPr>
            <w:r>
              <w:t xml:space="preserve">$7.35</w:t>
            </w:r>
          </w:p>
        </w:tc>
        <w:tc>
          <w:tcPr/>
          <w:p>
            <w:pPr>
              <w:pStyle w:val="Compact"/>
              <w:jc w:val="left"/>
            </w:pPr>
            <w:r>
              <w:t xml:space="preserve">$45,570.00</w:t>
            </w:r>
          </w:p>
        </w:tc>
      </w:tr>
      <w:tr>
        <w:tc>
          <w:tcPr/>
          <w:p>
            <w:pPr>
              <w:pStyle w:val="Compact"/>
              <w:jc w:val="left"/>
            </w:pPr>
            <w:r>
              <w:t xml:space="preserve">004</w:t>
            </w:r>
          </w:p>
        </w:tc>
        <w:tc>
          <w:tcPr/>
          <w:p>
            <w:pPr>
              <w:pStyle w:val="Compact"/>
              <w:jc w:val="left"/>
            </w:pPr>
            <w:r>
              <w:t xml:space="preserve">Structural Mortar Mix, Type S, 60-lb bags</w:t>
            </w:r>
          </w:p>
        </w:tc>
        <w:tc>
          <w:tcPr/>
          <w:p>
            <w:pPr>
              <w:pStyle w:val="Compact"/>
              <w:jc w:val="left"/>
            </w:pPr>
            <w:r>
              <w:t xml:space="preserve">3,100</w:t>
            </w:r>
          </w:p>
        </w:tc>
        <w:tc>
          <w:tcPr/>
          <w:p>
            <w:pPr>
              <w:pStyle w:val="Compact"/>
              <w:jc w:val="left"/>
            </w:pPr>
            <w:r>
              <w:t xml:space="preserve">bags</w:t>
            </w:r>
          </w:p>
        </w:tc>
        <w:tc>
          <w:tcPr/>
          <w:p>
            <w:pPr>
              <w:pStyle w:val="Compact"/>
              <w:jc w:val="left"/>
            </w:pPr>
            <w:r>
              <w:t xml:space="preserve">$14.20</w:t>
            </w:r>
          </w:p>
        </w:tc>
        <w:tc>
          <w:tcPr/>
          <w:p>
            <w:pPr>
              <w:pStyle w:val="Compact"/>
              <w:jc w:val="left"/>
            </w:pPr>
            <w:r>
              <w:t xml:space="preserve">$44,020.00</w:t>
            </w:r>
          </w:p>
        </w:tc>
      </w:tr>
      <w:tr>
        <w:tc>
          <w:tcPr/>
          <w:p>
            <w:pPr>
              <w:pStyle w:val="Compact"/>
              <w:jc w:val="left"/>
            </w:pPr>
            <w:r>
              <w:t xml:space="preserve">005</w:t>
            </w:r>
          </w:p>
        </w:tc>
        <w:tc>
          <w:tcPr/>
          <w:p>
            <w:pPr>
              <w:pStyle w:val="Compact"/>
              <w:jc w:val="left"/>
            </w:pPr>
            <w:r>
              <w:t xml:space="preserve">Stainless Steel Masonry Ties, 16-gauge, 12" length</w:t>
            </w:r>
          </w:p>
        </w:tc>
        <w:tc>
          <w:tcPr/>
          <w:p>
            <w:pPr>
              <w:pStyle w:val="Compact"/>
              <w:jc w:val="left"/>
            </w:pPr>
            <w:r>
              <w:t xml:space="preserve">4,500</w:t>
            </w:r>
          </w:p>
        </w:tc>
        <w:tc>
          <w:tcPr/>
          <w:p>
            <w:pPr>
              <w:pStyle w:val="Compact"/>
              <w:jc w:val="left"/>
            </w:pPr>
            <w:r>
              <w:t xml:space="preserve">pieces</w:t>
            </w:r>
          </w:p>
        </w:tc>
        <w:tc>
          <w:tcPr/>
          <w:p>
            <w:pPr>
              <w:pStyle w:val="Compact"/>
              <w:jc w:val="left"/>
            </w:pPr>
            <w:r>
              <w:t xml:space="preserve">$3.85</w:t>
            </w:r>
          </w:p>
        </w:tc>
        <w:tc>
          <w:tcPr/>
          <w:p>
            <w:pPr>
              <w:pStyle w:val="Compact"/>
              <w:jc w:val="left"/>
            </w:pPr>
            <w:r>
              <w:t xml:space="preserve">$17,325.00</w:t>
            </w:r>
          </w:p>
        </w:tc>
      </w:tr>
      <w:tr>
        <w:tc>
          <w:tcPr/>
          <w:p>
            <w:pPr>
              <w:pStyle w:val="Compact"/>
              <w:jc w:val="left"/>
            </w:pPr>
            <w:r>
              <w:t xml:space="preserve">006</w:t>
            </w:r>
          </w:p>
        </w:tc>
        <w:tc>
          <w:tcPr/>
          <w:p>
            <w:pPr>
              <w:pStyle w:val="Compact"/>
              <w:jc w:val="left"/>
            </w:pPr>
            <w:r>
              <w:t xml:space="preserve">Professional Mason Laying Services (certified masons, 12 crew)</w:t>
            </w:r>
          </w:p>
        </w:tc>
        <w:tc>
          <w:tcPr/>
          <w:p>
            <w:pPr>
              <w:pStyle w:val="Compact"/>
              <w:jc w:val="left"/>
            </w:pPr>
            <w:r>
              <w:t xml:space="preserve">480</w:t>
            </w:r>
          </w:p>
        </w:tc>
        <w:tc>
          <w:tcPr/>
          <w:p>
            <w:pPr>
              <w:pStyle w:val="Compact"/>
              <w:jc w:val="left"/>
            </w:pPr>
            <w:r>
              <w:t xml:space="preserve">labor hrs</w:t>
            </w:r>
          </w:p>
        </w:tc>
        <w:tc>
          <w:tcPr/>
          <w:p>
            <w:pPr>
              <w:pStyle w:val="Compact"/>
              <w:jc w:val="left"/>
            </w:pPr>
            <w:r>
              <w:t xml:space="preserve">$68.00</w:t>
            </w:r>
          </w:p>
        </w:tc>
        <w:tc>
          <w:tcPr/>
          <w:p>
            <w:pPr>
              <w:pStyle w:val="Compact"/>
              <w:jc w:val="left"/>
            </w:pPr>
            <w:r>
              <w:t xml:space="preserve">$32,640.00</w:t>
            </w:r>
          </w:p>
        </w:tc>
      </w:tr>
      <w:tr>
        <w:tc>
          <w:tcPr/>
          <w:p>
            <w:pPr>
              <w:pStyle w:val="Compact"/>
              <w:jc w:val="left"/>
            </w:pPr>
            <w:r>
              <w:t xml:space="preserve">007</w:t>
            </w:r>
          </w:p>
        </w:tc>
        <w:tc>
          <w:tcPr/>
          <w:p>
            <w:pPr>
              <w:pStyle w:val="Compact"/>
              <w:jc w:val="left"/>
            </w:pPr>
            <w:r>
              <w:t xml:space="preserve">Delivery and Site Handling within San Francisco, United States</w:t>
            </w:r>
          </w:p>
        </w:tc>
        <w:tc>
          <w:tcPr/>
          <w:p>
            <w:pPr>
              <w:pStyle w:val="Compact"/>
              <w:jc w:val="left"/>
            </w:pPr>
            <w:r>
              <w:t xml:space="preserve">1</w:t>
            </w:r>
          </w:p>
        </w:tc>
        <w:tc>
          <w:tcPr/>
          <w:p>
            <w:pPr>
              <w:pStyle w:val="Compact"/>
              <w:jc w:val="left"/>
            </w:pPr>
            <w:r>
              <w:t xml:space="preserve">flat rate</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right"/>
            </w:pPr>
            <w:r>
              <w:t xml:space="preserve">Subtotal:</w:t>
            </w:r>
          </w:p>
        </w:tc>
        <w:tc>
          <w:tcPr/>
          <w:p>
            <w:pPr>
              <w:pStyle w:val="Compact"/>
              <w:jc w:val="left"/>
            </w:pPr>
            <w:r>
              <w:t xml:space="preserve">$278,242.50</w:t>
            </w:r>
          </w:p>
        </w:tc>
      </w:tr>
      <w:tr>
        <w:tc>
          <w:tcPr>
            <w:gridSpan w:val="5"/>
          </w:tcPr>
          <w:p>
            <w:pPr>
              <w:pStyle w:val="Compact"/>
              <w:jc w:val="right"/>
            </w:pPr>
            <w:r>
              <w:t xml:space="preserve">California Sales Tax (8.625%):</w:t>
            </w:r>
          </w:p>
        </w:tc>
        <w:tc>
          <w:tcPr/>
          <w:p>
            <w:pPr>
              <w:pStyle w:val="Compact"/>
              <w:jc w:val="left"/>
            </w:pPr>
            <w:r>
              <w:t xml:space="preserve">$23,999.60</w:t>
            </w:r>
          </w:p>
        </w:tc>
      </w:tr>
      <w:tr>
        <w:tc>
          <w:tcPr>
            <w:gridSpan w:val="5"/>
          </w:tcPr>
          <w:p>
            <w:pPr>
              <w:pStyle w:val="Compact"/>
              <w:jc w:val="right"/>
            </w:pPr>
            <w:r>
              <w:rPr>
                <w:bCs/>
                <w:b/>
              </w:rPr>
              <w:t xml:space="preserve">TOTAL PURCHASE ORDER AMOUNT:</w:t>
            </w:r>
          </w:p>
        </w:tc>
        <w:tc>
          <w:tcPr/>
          <w:p>
            <w:pPr>
              <w:pStyle w:val="Compact"/>
              <w:jc w:val="left"/>
            </w:pPr>
            <w:r>
              <w:rPr>
                <w:bCs/>
                <w:b/>
              </w:rPr>
              <w:t xml:space="preserve">$302,242.10</w:t>
            </w:r>
          </w:p>
        </w:tc>
      </w:tr>
    </w:tbl>
    <w:p>
      <w:pPr>
        <w:pStyle w:val="BodyText"/>
      </w:pPr>
      <w:r>
        <w:t xml:space="preserve">3. DELIVERY AND LOGISTICS – SAN FRANCISCO, UNITED STATES</w:t>
      </w:r>
    </w:p>
    <w:p>
      <w:pPr>
        <w:pStyle w:val="BodyText"/>
      </w:pPr>
      <w:r>
        <w:t xml:space="preserve">All materials and services under this</w:t>
      </w:r>
      <w:r>
        <w:t xml:space="preserve"> </w:t>
      </w:r>
      <w:r>
        <w:t xml:space="preserve">Purchase Order</w:t>
      </w:r>
      <w:r>
        <w:t xml:space="preserve"> </w:t>
      </w:r>
      <w:r>
        <w:t xml:space="preserve">shall be delivered to the project site located at 2200 Embarcadero, Pier 35,</w:t>
      </w:r>
      <w:r>
        <w:t xml:space="preserve"> </w:t>
      </w:r>
      <w:r>
        <w:t xml:space="preserve">San Francisco</w:t>
      </w:r>
      <w:r>
        <w:t xml:space="preserve">, CA 94107,</w:t>
      </w:r>
      <w:r>
        <w:t xml:space="preserve"> </w:t>
      </w:r>
      <w:r>
        <w:t xml:space="preserve">United States</w:t>
      </w:r>
      <w:r>
        <w:t xml:space="preserve">.</w:t>
      </w:r>
      <w:r>
        <w:t xml:space="preserve"> </w:t>
      </w:r>
      <w:r>
        <w:t xml:space="preserve">Mason</w:t>
      </w:r>
      <w:r>
        <w:t xml:space="preserve"> </w:t>
      </w:r>
      <w:r>
        <w:t xml:space="preserve">Construction &amp; Supply Co. is responsible for all transportation, loading, and unloading within the</w:t>
      </w:r>
      <w:r>
        <w:t xml:space="preserve"> </w:t>
      </w:r>
      <w:r>
        <w:t xml:space="preserve">San Francisco</w:t>
      </w:r>
      <w:r>
        <w:t xml:space="preserve"> </w:t>
      </w:r>
      <w:r>
        <w:t xml:space="preserve">city limits. Delivery must comply with the</w:t>
      </w:r>
      <w:r>
        <w:t xml:space="preserve"> </w:t>
      </w:r>
      <w:r>
        <w:t xml:space="preserve">San Francisco</w:t>
      </w:r>
      <w:r>
        <w:t xml:space="preserve"> </w:t>
      </w:r>
      <w:r>
        <w:t xml:space="preserve">Municipal Code Chapter 15 (Building) and all applicable California Department of Transportation (Caltrans) regulations for heavy vehicle movement on city streets. The Supplier,</w:t>
      </w:r>
      <w:r>
        <w:t xml:space="preserve"> </w:t>
      </w:r>
      <w:r>
        <w:t xml:space="preserve">Mason</w:t>
      </w:r>
      <w:r>
        <w:t xml:space="preserve">, shall provide a minimum of 72 hours' written notice prior to each delivery window. All deliveries must occur between the hours of 07:00 and 17:00 Pacific Time to comply with</w:t>
      </w:r>
      <w:r>
        <w:t xml:space="preserve"> </w:t>
      </w:r>
      <w:r>
        <w:t xml:space="preserve">San Francisco</w:t>
      </w:r>
      <w:r>
        <w:t xml:space="preserve"> </w:t>
      </w:r>
      <w:r>
        <w:t xml:space="preserve">noise ordinances. The Buyer reserves the right to reject any shipment that does not meet the specifications outlined in this</w:t>
      </w:r>
      <w:r>
        <w:t xml:space="preserve"> </w:t>
      </w:r>
      <w:r>
        <w:t xml:space="preserve">Purchase Order</w:t>
      </w:r>
      <w:r>
        <w:t xml:space="preserve">.</w:t>
      </w:r>
    </w:p>
    <w:p>
      <w:pPr>
        <w:pStyle w:val="BodyText"/>
      </w:pPr>
      <w:r>
        <w:t xml:space="preserve">4. PAYMENT TERMS AND CONDITIONS</w:t>
      </w:r>
    </w:p>
    <w:p>
      <w:pPr>
        <w:numPr>
          <w:ilvl w:val="0"/>
          <w:numId w:val="1001"/>
        </w:numPr>
        <w:pStyle w:val="Compact"/>
      </w:pPr>
      <w:r>
        <w:rPr>
          <w:bCs/>
          <w:b/>
        </w:rPr>
        <w:t xml:space="preserve">Payment Schedule:</w:t>
      </w:r>
      <w:r>
        <w:t xml:space="preserve"> </w:t>
      </w:r>
      <w:r>
        <w:t xml:space="preserve">30% upon execution of this</w:t>
      </w:r>
      <w:r>
        <w:t xml:space="preserve"> </w:t>
      </w:r>
      <w:r>
        <w:t xml:space="preserve">Purchase Order</w:t>
      </w:r>
      <w:r>
        <w:t xml:space="preserve">; 50% upon delivery and inspection of all materials at the</w:t>
      </w:r>
      <w:r>
        <w:t xml:space="preserve"> </w:t>
      </w:r>
      <w:r>
        <w:t xml:space="preserve">San Francisco</w:t>
      </w:r>
      <w:r>
        <w:t xml:space="preserve"> </w:t>
      </w:r>
      <w:r>
        <w:t xml:space="preserve">site; 20% upon final completion and acceptance of masonry work by the Buyer's project engineer.</w:t>
      </w:r>
    </w:p>
    <w:p>
      <w:pPr>
        <w:numPr>
          <w:ilvl w:val="0"/>
          <w:numId w:val="1001"/>
        </w:numPr>
        <w:pStyle w:val="Compact"/>
      </w:pPr>
      <w:r>
        <w:rPr>
          <w:bCs/>
          <w:b/>
        </w:rPr>
        <w:t xml:space="preserve">Payment Method:</w:t>
      </w:r>
      <w:r>
        <w:t xml:space="preserve"> </w:t>
      </w:r>
      <w:r>
        <w:t xml:space="preserve">Wire transfer to the bank account designated by</w:t>
      </w:r>
      <w:r>
        <w:t xml:space="preserve"> </w:t>
      </w:r>
      <w:r>
        <w:t xml:space="preserve">Mason</w:t>
      </w:r>
      <w:r>
        <w:t xml:space="preserve"> </w:t>
      </w:r>
      <w:r>
        <w:t xml:space="preserve">Construction &amp; Supply Co. as listed on the attached remittance form. All payments are denominated in United States Dollars (USD).</w:t>
      </w:r>
    </w:p>
    <w:p>
      <w:pPr>
        <w:numPr>
          <w:ilvl w:val="0"/>
          <w:numId w:val="1001"/>
        </w:numPr>
        <w:pStyle w:val="Compact"/>
      </w:pPr>
      <w:r>
        <w:rPr>
          <w:bCs/>
          <w:b/>
        </w:rPr>
        <w:t xml:space="preserve">Net Terms:</w:t>
      </w:r>
      <w:r>
        <w:t xml:space="preserve"> </w:t>
      </w:r>
      <w:r>
        <w:t xml:space="preserve">Net 30 days from the date of invoice. Late payments shall accrue interest at a rate of 1.5% per month, in accordance with California Commercial Code Section 2210.2.</w:t>
      </w:r>
    </w:p>
    <w:p>
      <w:pPr>
        <w:numPr>
          <w:ilvl w:val="0"/>
          <w:numId w:val="1001"/>
        </w:numPr>
        <w:pStyle w:val="Compact"/>
      </w:pPr>
      <w:r>
        <w:rPr>
          <w:bCs/>
          <w:b/>
        </w:rPr>
        <w:t xml:space="preserve">Retainage:</w:t>
      </w:r>
      <w:r>
        <w:t xml:space="preserve"> </w:t>
      </w:r>
      <w:r>
        <w:t xml:space="preserve">The Buyer shall retain 5% of each progress payment until final completion and lien waiver submission by</w:t>
      </w:r>
      <w:r>
        <w:t xml:space="preserve"> </w:t>
      </w:r>
      <w:r>
        <w:t xml:space="preserve">Mason</w:t>
      </w:r>
      <w:r>
        <w:t xml:space="preserve">.</w:t>
      </w:r>
    </w:p>
    <w:p>
      <w:pPr>
        <w:numPr>
          <w:ilvl w:val="0"/>
          <w:numId w:val="1001"/>
        </w:numPr>
        <w:pStyle w:val="Compact"/>
      </w:pPr>
      <w:r>
        <w:rPr>
          <w:bCs/>
          <w:b/>
        </w:rPr>
        <w:t xml:space="preserve">Disputes:</w:t>
      </w:r>
      <w:r>
        <w:t xml:space="preserve"> </w:t>
      </w:r>
      <w:r>
        <w:t xml:space="preserve">Any pricing or quantity disputes arising from this</w:t>
      </w:r>
      <w:r>
        <w:t xml:space="preserve"> </w:t>
      </w:r>
      <w:r>
        <w:t xml:space="preserve">Purchase Order</w:t>
      </w:r>
      <w:r>
        <w:t xml:space="preserve"> </w:t>
      </w:r>
      <w:r>
        <w:t xml:space="preserve">shall be resolved through mediation in</w:t>
      </w:r>
      <w:r>
        <w:t xml:space="preserve"> </w:t>
      </w:r>
      <w:r>
        <w:t xml:space="preserve">San Francisco</w:t>
      </w:r>
      <w:r>
        <w:t xml:space="preserve">,</w:t>
      </w:r>
      <w:r>
        <w:t xml:space="preserve"> </w:t>
      </w:r>
      <w:r>
        <w:t xml:space="preserve">United States</w:t>
      </w:r>
      <w:r>
        <w:t xml:space="preserve">, before proceeding to litigation in the Superior Court of California, County of San Francisco.</w:t>
      </w:r>
    </w:p>
    <w:p>
      <w:pPr>
        <w:pStyle w:val="FirstParagraph"/>
      </w:pPr>
      <w:r>
        <w:t xml:space="preserve">5. QUALITY ASSURANCE AND COMPLIANCE</w:t>
      </w:r>
    </w:p>
    <w:p>
      <w:pPr>
        <w:pStyle w:val="BodyText"/>
      </w:pPr>
      <w:r>
        <w:t xml:space="preserve">Mason</w:t>
      </w:r>
      <w:r>
        <w:t xml:space="preserve"> </w:t>
      </w:r>
      <w:r>
        <w:t xml:space="preserve">Construction &amp; Supply Co. warrants that all masonry materials supplied under this</w:t>
      </w:r>
      <w:r>
        <w:t xml:space="preserve"> </w:t>
      </w:r>
      <w:r>
        <w:t xml:space="preserve">Purchase Order</w:t>
      </w:r>
      <w:r>
        <w:t xml:space="preserve"> </w:t>
      </w:r>
      <w:r>
        <w:t xml:space="preserve">shall conform to ASTM C90, ASTM C139, and ASTM C270 standards. All structural stone shall be sourced from quarries within the state of California to support local supply chains in the</w:t>
      </w:r>
      <w:r>
        <w:t xml:space="preserve"> </w:t>
      </w:r>
      <w:r>
        <w:t xml:space="preserve">San Francisco</w:t>
      </w:r>
      <w:r>
        <w:t xml:space="preserve"> </w:t>
      </w:r>
      <w:r>
        <w:t xml:space="preserve">region.</w:t>
      </w:r>
      <w:r>
        <w:t xml:space="preserve"> </w:t>
      </w:r>
      <w:r>
        <w:t xml:space="preserve">Mason</w:t>
      </w:r>
      <w:r>
        <w:t xml:space="preserve"> </w:t>
      </w:r>
      <w:r>
        <w:t xml:space="preserve">shall provide mill certificates, material test reports, and compliance documentation with the</w:t>
      </w:r>
      <w:r>
        <w:t xml:space="preserve"> </w:t>
      </w:r>
      <w:r>
        <w:t xml:space="preserve">San Francisco</w:t>
      </w:r>
      <w:r>
        <w:t xml:space="preserve"> </w:t>
      </w:r>
      <w:r>
        <w:t xml:space="preserve">Building Code (2023 edition) prior to the first delivery. The Buyer's designated inspector shall have the right to conduct on-site quality audits at the</w:t>
      </w:r>
      <w:r>
        <w:t xml:space="preserve"> </w:t>
      </w:r>
      <w:r>
        <w:t xml:space="preserve">San Francisco</w:t>
      </w:r>
      <w:r>
        <w:t xml:space="preserve"> </w:t>
      </w:r>
      <w:r>
        <w:t xml:space="preserve">project location at any reasonable time during the performance period of this</w:t>
      </w:r>
      <w:r>
        <w:t xml:space="preserve"> </w:t>
      </w:r>
      <w:r>
        <w:t xml:space="preserve">Purchase Order</w:t>
      </w:r>
      <w:r>
        <w:t xml:space="preserve">.</w:t>
      </w:r>
    </w:p>
    <w:p>
      <w:pPr>
        <w:pStyle w:val="BodyText"/>
      </w:pPr>
      <w:r>
        <w:t xml:space="preserve">6. GENERAL PROVISIONS</w:t>
      </w:r>
    </w:p>
    <w:p>
      <w:pPr>
        <w:numPr>
          <w:ilvl w:val="0"/>
          <w:numId w:val="1002"/>
        </w:numPr>
        <w:pStyle w:val="Compact"/>
      </w:pPr>
      <w:r>
        <w:t xml:space="preserve">This</w:t>
      </w:r>
      <w:r>
        <w:t xml:space="preserve"> </w:t>
      </w:r>
      <w:r>
        <w:t xml:space="preserve">Purchase Order</w:t>
      </w:r>
      <w:r>
        <w:t xml:space="preserve"> </w:t>
      </w:r>
      <w:r>
        <w:t xml:space="preserve">constitutes the entire agreement between the Buyer and</w:t>
      </w:r>
      <w:r>
        <w:t xml:space="preserve"> </w:t>
      </w:r>
      <w:r>
        <w:t xml:space="preserve">Mason</w:t>
      </w:r>
      <w:r>
        <w:t xml:space="preserve"> </w:t>
      </w:r>
      <w:r>
        <w:t xml:space="preserve">Construction &amp; Supply Co. regarding the subject matter herein and supersedes all prior negotiations, representations, or agreements.</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State of California and the federal laws of the</w:t>
      </w:r>
      <w:r>
        <w:t xml:space="preserve"> </w:t>
      </w:r>
      <w:r>
        <w:t xml:space="preserve">United States</w:t>
      </w:r>
      <w:r>
        <w:t xml:space="preserve"> </w:t>
      </w:r>
      <w:r>
        <w:t xml:space="preserve">of America.</w:t>
      </w:r>
    </w:p>
    <w:p>
      <w:pPr>
        <w:numPr>
          <w:ilvl w:val="0"/>
          <w:numId w:val="1002"/>
        </w:numPr>
        <w:pStyle w:val="Compact"/>
      </w:pPr>
      <w:r>
        <w:t xml:space="preserve">Mason</w:t>
      </w:r>
      <w:r>
        <w:t xml:space="preserve"> </w:t>
      </w:r>
      <w:r>
        <w:t xml:space="preserve">shall maintain general liability insurance of no less than $2,000,000 per occurrence and workers' compensation insurance as required by California Labor Code throughout the duration of this</w:t>
      </w:r>
      <w:r>
        <w:t xml:space="preserve"> </w:t>
      </w:r>
      <w:r>
        <w:t xml:space="preserve">Purchase Order</w:t>
      </w:r>
      <w:r>
        <w:t xml:space="preserve">.</w:t>
      </w:r>
    </w:p>
    <w:p>
      <w:pPr>
        <w:numPr>
          <w:ilvl w:val="0"/>
          <w:numId w:val="1002"/>
        </w:numPr>
        <w:pStyle w:val="Compact"/>
      </w:pPr>
      <w:r>
        <w:t xml:space="preserve">Neither party may assign this</w:t>
      </w:r>
      <w:r>
        <w:t xml:space="preserve"> </w:t>
      </w:r>
      <w:r>
        <w:t xml:space="preserve">Purchase Order</w:t>
      </w:r>
      <w:r>
        <w:t xml:space="preserve"> </w:t>
      </w:r>
      <w:r>
        <w:t xml:space="preserve">without the prior written consent of the other party. Any subcontracting by</w:t>
      </w:r>
      <w:r>
        <w:t xml:space="preserve"> </w:t>
      </w:r>
      <w:r>
        <w:t xml:space="preserve">Mason</w:t>
      </w:r>
      <w:r>
        <w:t xml:space="preserve"> </w:t>
      </w:r>
      <w:r>
        <w:t xml:space="preserve">must be approved in writing by the Buyer.</w:t>
      </w:r>
    </w:p>
    <w:p>
      <w:pPr>
        <w:numPr>
          <w:ilvl w:val="0"/>
          <w:numId w:val="1002"/>
        </w:numPr>
        <w:pStyle w:val="Compact"/>
      </w:pPr>
      <w:r>
        <w:t xml:space="preserve">This</w:t>
      </w:r>
      <w:r>
        <w:t xml:space="preserve"> </w:t>
      </w:r>
      <w:r>
        <w:t xml:space="preserve">Purchase Order</w:t>
      </w:r>
      <w:r>
        <w:t xml:space="preserve"> </w:t>
      </w:r>
      <w:r>
        <w:t xml:space="preserve">may be amended only by a written change order signed by authorized representatives of both the Buyer and</w:t>
      </w:r>
      <w:r>
        <w:t xml:space="preserve"> </w:t>
      </w:r>
      <w:r>
        <w:t xml:space="preserve">Mason</w:t>
      </w:r>
      <w:r>
        <w:t xml:space="preserve">.</w:t>
      </w:r>
    </w:p>
    <w:p>
      <w:pPr>
        <w:pStyle w:val="FirstParagraph"/>
      </w:pPr>
      <w:r>
        <w:t xml:space="preserve">7. AUTHORIZED SIGNATURES</w:t>
      </w:r>
    </w:p>
    <w:p>
      <w:pPr>
        <w:pStyle w:val="BodyText"/>
      </w:pPr>
      <w:r>
        <w:rPr>
          <w:bCs/>
          <w:b/>
        </w:rPr>
        <w:t xml:space="preserve">For the Buyer:</w:t>
      </w:r>
      <w:r>
        <w:br/>
      </w:r>
      <w:r>
        <w:t xml:space="preserve">Golden Gate Infrastructure Authority</w:t>
      </w:r>
    </w:p>
    <w:p>
      <w:pPr>
        <w:pStyle w:val="BodyText"/>
      </w:pPr>
      <w:r>
        <w:rPr>
          <w:bCs/>
          <w:b/>
        </w:rPr>
        <w:t xml:space="preserve">Jonathan R. Whitfield</w:t>
      </w:r>
      <w:r>
        <w:br/>
      </w:r>
      <w:r>
        <w:t xml:space="preserve">Director of Procurement</w:t>
      </w:r>
      <w:r>
        <w:br/>
      </w:r>
      <w:r>
        <w:t xml:space="preserve">Date: _______________</w:t>
      </w:r>
    </w:p>
    <w:p>
      <w:pPr>
        <w:pStyle w:val="BodyText"/>
      </w:pPr>
      <w:r>
        <w:rPr>
          <w:bCs/>
          <w:b/>
        </w:rPr>
        <w:t xml:space="preserve">For the Supplier:</w:t>
      </w:r>
      <w:r>
        <w:br/>
      </w:r>
      <w:r>
        <w:t xml:space="preserve">Mason Construction &amp; Supply Co.</w:t>
      </w:r>
    </w:p>
    <w:p>
      <w:pPr>
        <w:pStyle w:val="BodyText"/>
      </w:pPr>
      <w:r>
        <w:rPr>
          <w:bCs/>
          <w:b/>
        </w:rPr>
        <w:t xml:space="preserve">David A. Mason</w:t>
      </w:r>
      <w:r>
        <w:br/>
      </w:r>
      <w:r>
        <w:t xml:space="preserve">President &amp; Chief Executive Officer</w:t>
      </w:r>
      <w:r>
        <w:br/>
      </w: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(PO-SF-2025-04872) is a legally binding document issued in the city and county of</w:t>
      </w:r>
      <w:r>
        <w:t xml:space="preserve"> </w:t>
      </w:r>
      <w:r>
        <w:t xml:space="preserve">San Francisco</w:t>
      </w:r>
      <w:r>
        <w:t xml:space="preserve">, State of California,</w:t>
      </w:r>
      <w:r>
        <w:t xml:space="preserve"> </w:t>
      </w:r>
      <w:r>
        <w:t xml:space="preserve">United States</w:t>
      </w:r>
      <w:r>
        <w:t xml:space="preserve"> </w:t>
      </w:r>
      <w:r>
        <w:t xml:space="preserve">of America. By signing,</w:t>
      </w:r>
      <w:r>
        <w:t xml:space="preserve"> </w:t>
      </w:r>
      <w:r>
        <w:t xml:space="preserve">Mason</w:t>
      </w:r>
      <w:r>
        <w:t xml:space="preserve"> </w:t>
      </w:r>
      <w:r>
        <w:t xml:space="preserve">Construction &amp; Supply Co. acknowledges full acceptance of all terms, specifications, and obligations contained herein. This document shall remain in effect until all deliverables have been completed, inspected, and final payment has been rendered. Questions regarding this</w:t>
      </w:r>
      <w:r>
        <w:t xml:space="preserve"> </w:t>
      </w:r>
      <w:r>
        <w:t xml:space="preserve">Purchase Order</w:t>
      </w:r>
      <w:r>
        <w:t xml:space="preserve"> </w:t>
      </w:r>
      <w:r>
        <w:t xml:space="preserve">should be directed to the Buyer's Procurement Office at 1455 Market Street, Suite 2200,</w:t>
      </w:r>
      <w:r>
        <w:t xml:space="preserve"> </w:t>
      </w:r>
      <w:r>
        <w:t xml:space="preserve">San Francisco</w:t>
      </w:r>
      <w:r>
        <w:t xml:space="preserve">, CA 94102, or to</w:t>
      </w:r>
      <w:r>
        <w:t xml:space="preserve"> </w:t>
      </w:r>
      <w:r>
        <w:t xml:space="preserve">Mason</w:t>
      </w:r>
      <w:r>
        <w:t xml:space="preserve"> </w:t>
      </w:r>
      <w:r>
        <w:t xml:space="preserve">Construction &amp; Supply Co. at 892 Harrison Avenue,</w:t>
      </w:r>
      <w:r>
        <w:t xml:space="preserve"> </w:t>
      </w:r>
      <w:r>
        <w:t xml:space="preserve">San Francisco</w:t>
      </w:r>
      <w:r>
        <w:t xml:space="preserve">, CA 94110.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&amp; Supply Co. - San Francisco, United States</dc:title>
  <dc:creator/>
  <dc:language>en</dc:language>
  <cp:keywords/>
  <dcterms:created xsi:type="dcterms:W3CDTF">2026-10-10T02:43:44Z</dcterms:created>
  <dcterms:modified xsi:type="dcterms:W3CDTF">2026-10-10T02:43:44Z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