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Mathematician Engagement — Egypt Alexandria</w:t>
      </w:r>
    </w:p>
    <w:p>
      <w:pPr>
        <w:pStyle w:val="BodyText"/>
      </w:pPr>
      <w:r>
        <w:t xml:space="preserve">Document Reference: PO-EGY-ALX-2025-0047</w:t>
      </w:r>
    </w:p>
    <w:bookmarkEnd w:id="20"/>
    <w:p>
      <w:pPr>
        <w:pStyle w:val="BodyText"/>
      </w:pPr>
      <w:r>
        <w:rPr>
          <w:bCs/>
          <w:b/>
        </w:rPr>
        <w:t xml:space="preserve">Purchase Order No.:</w:t>
      </w:r>
      <w:r>
        <w:t xml:space="preserve"> </w:t>
      </w:r>
      <w:r>
        <w:t xml:space="preserve">PO-EGY-ALX-2025-0047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Place of Performance:</w:t>
      </w:r>
      <w:r>
        <w:t xml:space="preserve"> </w:t>
      </w:r>
      <w:r>
        <w:t xml:space="preserve">Egypt Alexandria</w:t>
      </w:r>
    </w:p>
    <w:bookmarkStart w:id="21" w:name="parties-to-this-purchase-order"/>
    <w:p>
      <w:pPr>
        <w:pStyle w:val="Heading2"/>
      </w:pPr>
      <w:r>
        <w:t xml:space="preserve">1. Parties to This Purchase Order</w:t>
      </w:r>
    </w:p>
    <w:p>
      <w:pPr>
        <w:pStyle w:val="FirstParagraph"/>
      </w:pPr>
      <w:r>
        <w:rPr>
          <w:bCs/>
          <w:b/>
        </w:rPr>
        <w:t xml:space="preserve">Buyer (Issuing Entity):</w:t>
      </w:r>
    </w:p>
    <w:p>
      <w:pPr>
        <w:pStyle w:val="BodyText"/>
      </w:pPr>
      <w:r>
        <w:t xml:space="preserve">Alexandria University Research &amp; Development Consortium</w:t>
      </w:r>
      <w:r>
        <w:br/>
      </w:r>
      <w:r>
        <w:t xml:space="preserve">21 El-Montazah Road, Seafront District</w:t>
      </w:r>
      <w:r>
        <w:br/>
      </w:r>
      <w:r>
        <w:t xml:space="preserve">Egypt Alexandria, 21526, Arab Republic of Egypt</w:t>
      </w:r>
      <w:r>
        <w:br/>
      </w:r>
      <w:r>
        <w:t xml:space="preserve">Tax Identification No.: 552-881-447-003</w:t>
      </w:r>
      <w:r>
        <w:br/>
      </w:r>
      <w:r>
        <w:t xml:space="preserve">Contact: Procurement Office, Ext. 4412</w:t>
      </w:r>
      <w:r>
        <w:br/>
      </w:r>
      <w:r>
        <w:t xml:space="preserve">Email: procurement@alexconsortium.edu.eg</w:t>
      </w:r>
    </w:p>
    <w:p>
      <w:pPr>
        <w:pStyle w:val="BodyText"/>
      </w:pPr>
      <w:r>
        <w:rPr>
          <w:bCs/>
          <w:b/>
        </w:rPr>
        <w:t xml:space="preserve">Supplier (Service Provider):</w:t>
      </w:r>
    </w:p>
    <w:p>
      <w:pPr>
        <w:pStyle w:val="BodyText"/>
      </w:pPr>
      <w:r>
        <w:t xml:space="preserve">Dr. Hassan El-Farouk, Ph.D. in Applied Mathematics</w:t>
      </w:r>
      <w:r>
        <w:br/>
      </w:r>
      <w:r>
        <w:t xml:space="preserve">Independent Mathematician &amp; Consultant</w:t>
      </w:r>
      <w:r>
        <w:br/>
      </w:r>
      <w:r>
        <w:t xml:space="preserve">8 Corniche El-Nil Street, Dokki Quarter</w:t>
      </w:r>
      <w:r>
        <w:br/>
      </w:r>
      <w:r>
        <w:t xml:space="preserve">Egypt Alexandria, 21411, Arab Republic of Egypt</w:t>
      </w:r>
      <w:r>
        <w:br/>
      </w:r>
      <w:r>
        <w:t xml:space="preserve">Professional License No.: MATH-EGY-2019-00882</w:t>
      </w:r>
      <w:r>
        <w:br/>
      </w:r>
      <w:r>
        <w:t xml:space="preserve">Contact: +20-3-555-7821</w:t>
      </w:r>
      <w:r>
        <w:br/>
      </w:r>
      <w:r>
        <w:t xml:space="preserve">Email: h.el-farouk@mathconsult-egypt.com</w:t>
      </w:r>
    </w:p>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the Alexandria University Research &amp; Development Consortium (hereinafter referred to as the "Buyer") to formally engage the services of a qualified</w:t>
      </w:r>
      <w:r>
        <w:t xml:space="preserve"> </w:t>
      </w:r>
      <w:r>
        <w:t xml:space="preserve">Mathematician</w:t>
      </w:r>
      <w:r>
        <w:t xml:space="preserve">, Dr. Hassan El-Farouk, for the execution of advanced mathematical modelling, statistical analysis, and computational research tasks. All professional services under this</w:t>
      </w:r>
      <w:r>
        <w:t xml:space="preserve"> </w:t>
      </w:r>
      <w:r>
        <w:t xml:space="preserve">Purchase Order</w:t>
      </w:r>
      <w:r>
        <w:t xml:space="preserve"> </w:t>
      </w:r>
      <w:r>
        <w:t xml:space="preserve">shall be performed within the jurisdiction of</w:t>
      </w:r>
      <w:r>
        <w:t xml:space="preserve"> </w:t>
      </w:r>
      <w:r>
        <w:t xml:space="preserve">Egypt Alexandria</w:t>
      </w:r>
      <w:r>
        <w:t xml:space="preserve">, specifically at the Buyer's designated research facilities located in the Seafront District of</w:t>
      </w:r>
      <w:r>
        <w:t xml:space="preserve"> </w:t>
      </w:r>
      <w:r>
        <w:t xml:space="preserve">Egypt Alexandria</w:t>
      </w:r>
      <w:r>
        <w:t xml:space="preserve">.</w:t>
      </w:r>
    </w:p>
    <w:p>
      <w:pPr>
        <w:pStyle w:val="BodyText"/>
      </w:pPr>
      <w:r>
        <w:t xml:space="preserve">The</w:t>
      </w:r>
      <w:r>
        <w:t xml:space="preserve"> </w:t>
      </w:r>
      <w:r>
        <w:t xml:space="preserve">Mathematician</w:t>
      </w:r>
      <w:r>
        <w:t xml:space="preserve"> </w:t>
      </w:r>
      <w:r>
        <w:t xml:space="preserve">engaged under this</w:t>
      </w:r>
      <w:r>
        <w:t xml:space="preserve"> </w:t>
      </w:r>
      <w:r>
        <w:t xml:space="preserve">Purchase Order</w:t>
      </w:r>
      <w:r>
        <w:t xml:space="preserve"> </w:t>
      </w:r>
      <w:r>
        <w:t xml:space="preserve">shall provide expert-level mathematical expertise in the fields of differential equations, numerical analysis, optimization theory, and probabilistic modelling. The scope of work is tailored to support the Consortium's ongoing marine engineering research programme, which is headquartered in</w:t>
      </w:r>
      <w:r>
        <w:t xml:space="preserve"> </w:t>
      </w:r>
      <w:r>
        <w:t xml:space="preserve">Egypt Alexandria</w:t>
      </w:r>
      <w:r>
        <w:t xml:space="preserve"> </w:t>
      </w:r>
      <w:r>
        <w:t xml:space="preserve">and benefits from the city's strategic coastal location and established academic infrastructure.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Mathematician Services</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Quantity</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Advanced mathematical modelling of coastal erosion patterns for the Egypt Alexandria shoreline study</w:t>
            </w:r>
          </w:p>
        </w:tc>
        <w:tc>
          <w:tcPr/>
          <w:p>
            <w:pPr>
              <w:pStyle w:val="Compact"/>
              <w:jc w:val="left"/>
            </w:pPr>
            <w:r>
              <w:t xml:space="preserve">8 weeks</w:t>
            </w:r>
          </w:p>
        </w:tc>
        <w:tc>
          <w:tcPr/>
          <w:p>
            <w:pPr>
              <w:pStyle w:val="Compact"/>
              <w:jc w:val="left"/>
            </w:pPr>
            <w:r>
              <w:t xml:space="preserve">12,500</w:t>
            </w:r>
          </w:p>
        </w:tc>
        <w:tc>
          <w:tcPr/>
          <w:p>
            <w:pPr>
              <w:pStyle w:val="Compact"/>
              <w:jc w:val="left"/>
            </w:pPr>
            <w:r>
              <w:t xml:space="preserve">1</w:t>
            </w:r>
          </w:p>
        </w:tc>
        <w:tc>
          <w:tcPr/>
          <w:p>
            <w:pPr>
              <w:pStyle w:val="Compact"/>
              <w:jc w:val="left"/>
            </w:pPr>
            <w:r>
              <w:t xml:space="preserve">100,000</w:t>
            </w:r>
          </w:p>
        </w:tc>
      </w:tr>
      <w:tr>
        <w:tc>
          <w:tcPr/>
          <w:p>
            <w:pPr>
              <w:pStyle w:val="Compact"/>
              <w:jc w:val="left"/>
            </w:pPr>
            <w:r>
              <w:t xml:space="preserve">02</w:t>
            </w:r>
          </w:p>
        </w:tc>
        <w:tc>
          <w:tcPr/>
          <w:p>
            <w:pPr>
              <w:pStyle w:val="Compact"/>
              <w:jc w:val="left"/>
            </w:pPr>
            <w:r>
              <w:t xml:space="preserve">Statistical analysis and probabilistic risk assessment for port infrastructure in Egypt Alexandria</w:t>
            </w:r>
          </w:p>
        </w:tc>
        <w:tc>
          <w:tcPr/>
          <w:p>
            <w:pPr>
              <w:pStyle w:val="Compact"/>
              <w:jc w:val="left"/>
            </w:pPr>
            <w:r>
              <w:t xml:space="preserve">6 weeks</w:t>
            </w:r>
          </w:p>
        </w:tc>
        <w:tc>
          <w:tcPr/>
          <w:p>
            <w:pPr>
              <w:pStyle w:val="Compact"/>
              <w:jc w:val="left"/>
            </w:pPr>
            <w:r>
              <w:t xml:space="preserve">11,000</w:t>
            </w:r>
          </w:p>
        </w:tc>
        <w:tc>
          <w:tcPr/>
          <w:p>
            <w:pPr>
              <w:pStyle w:val="Compact"/>
              <w:jc w:val="left"/>
            </w:pPr>
            <w:r>
              <w:t xml:space="preserve">1</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Development of optimization algorithms for maritime logistics networks serving Egypt Alexandria</w:t>
            </w:r>
          </w:p>
        </w:tc>
        <w:tc>
          <w:tcPr/>
          <w:p>
            <w:pPr>
              <w:pStyle w:val="Compact"/>
              <w:jc w:val="left"/>
            </w:pPr>
            <w:r>
              <w:t xml:space="preserve">10 weeks</w:t>
            </w:r>
          </w:p>
        </w:tc>
        <w:tc>
          <w:tcPr/>
          <w:p>
            <w:pPr>
              <w:pStyle w:val="Compact"/>
              <w:jc w:val="left"/>
            </w:pPr>
            <w:r>
              <w:t xml:space="preserve">13,500</w:t>
            </w:r>
          </w:p>
        </w:tc>
        <w:tc>
          <w:tcPr/>
          <w:p>
            <w:pPr>
              <w:pStyle w:val="Compact"/>
              <w:jc w:val="left"/>
            </w:pPr>
            <w:r>
              <w:t xml:space="preserve">1</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Peer review and validation of mathematical frameworks prepared by junior research staff</w:t>
            </w:r>
          </w:p>
        </w:tc>
        <w:tc>
          <w:tcPr/>
          <w:p>
            <w:pPr>
              <w:pStyle w:val="Compact"/>
              <w:jc w:val="left"/>
            </w:pPr>
            <w:r>
              <w:t xml:space="preserve">Ongoing</w:t>
            </w:r>
          </w:p>
        </w:tc>
        <w:tc>
          <w:tcPr/>
          <w:p>
            <w:pPr>
              <w:pStyle w:val="Compact"/>
              <w:jc w:val="left"/>
            </w:pPr>
            <w:r>
              <w:t xml:space="preserve">8,000</w:t>
            </w:r>
          </w:p>
        </w:tc>
        <w:tc>
          <w:tcPr/>
          <w:p>
            <w:pPr>
              <w:pStyle w:val="Compact"/>
              <w:jc w:val="left"/>
            </w:pPr>
            <w:r>
              <w:t xml:space="preserve">3</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On-site consultation and training sessions for the Egypt Alexandria research team (4 sessions)</w:t>
            </w:r>
          </w:p>
        </w:tc>
        <w:tc>
          <w:tcPr/>
          <w:p>
            <w:pPr>
              <w:pStyle w:val="Compact"/>
              <w:jc w:val="left"/>
            </w:pPr>
            <w:r>
              <w:t xml:space="preserve">4 days</w:t>
            </w:r>
          </w:p>
        </w:tc>
        <w:tc>
          <w:tcPr/>
          <w:p>
            <w:pPr>
              <w:pStyle w:val="Compact"/>
              <w:jc w:val="left"/>
            </w:pPr>
            <w:r>
              <w:t xml:space="preserve">9,500</w:t>
            </w:r>
          </w:p>
        </w:tc>
        <w:tc>
          <w:tcPr/>
          <w:p>
            <w:pPr>
              <w:pStyle w:val="Compact"/>
              <w:jc w:val="left"/>
            </w:pPr>
            <w:r>
              <w:t xml:space="preserve">4</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Preparation of final technical report with full mathematical derivations and appendices</w:t>
            </w:r>
          </w:p>
        </w:tc>
        <w:tc>
          <w:tcPr/>
          <w:p>
            <w:pPr>
              <w:pStyle w:val="Compact"/>
              <w:jc w:val="left"/>
            </w:pPr>
            <w:r>
              <w:t xml:space="preserve">3 weeks</w:t>
            </w:r>
          </w:p>
        </w:tc>
        <w:tc>
          <w:tcPr/>
          <w:p>
            <w:pPr>
              <w:pStyle w:val="Compact"/>
              <w:jc w:val="left"/>
            </w:pPr>
            <w:r>
              <w:t xml:space="preserve">15,000</w:t>
            </w:r>
          </w:p>
        </w:tc>
        <w:tc>
          <w:tcPr/>
          <w:p>
            <w:pPr>
              <w:pStyle w:val="Compact"/>
              <w:jc w:val="left"/>
            </w:pPr>
            <w:r>
              <w:t xml:space="preserve">1</w:t>
            </w:r>
          </w:p>
        </w:tc>
        <w:tc>
          <w:tcPr/>
          <w:p>
            <w:pPr>
              <w:pStyle w:val="Compact"/>
              <w:jc w:val="left"/>
            </w:pPr>
            <w:r>
              <w:t xml:space="preserve">45,000</w:t>
            </w:r>
          </w:p>
        </w:tc>
      </w:tr>
      <w:tr>
        <w:tc>
          <w:tcPr>
            <w:gridSpan w:val="5"/>
          </w:tcPr>
          <w:p>
            <w:pPr>
              <w:pStyle w:val="Compact"/>
              <w:jc w:val="left"/>
            </w:pPr>
            <w:r>
              <w:t xml:space="preserve">TOTAL PURCHASE ORDER VALUE</w:t>
            </w:r>
          </w:p>
        </w:tc>
        <w:tc>
          <w:tcPr/>
          <w:p>
            <w:pPr>
              <w:pStyle w:val="Compact"/>
              <w:jc w:val="left"/>
            </w:pPr>
            <w:r>
              <w:t xml:space="preserve">EGP 408,000</w:t>
            </w:r>
          </w:p>
        </w:tc>
      </w:tr>
    </w:tbl>
    <w:bookmarkEnd w:id="23"/>
    <w:bookmarkStart w:id="24" w:name="terms-and-conditions"/>
    <w:p>
      <w:pPr>
        <w:pStyle w:val="Heading2"/>
      </w:pPr>
      <w:r>
        <w:t xml:space="preserve">4. Terms and Conditions</w:t>
      </w:r>
    </w:p>
    <w:p>
      <w:pPr>
        <w:pStyle w:val="FirstParagraph"/>
      </w:pPr>
      <w:r>
        <w:rPr>
          <w:bCs/>
          <w:b/>
        </w:rPr>
        <w:t xml:space="preserve">4.1 Place of Performance:</w:t>
      </w:r>
      <w:r>
        <w:t xml:space="preserve"> </w:t>
      </w:r>
      <w:r>
        <w:t xml:space="preserve">All services rendered under this</w:t>
      </w:r>
      <w:r>
        <w:t xml:space="preserve"> </w:t>
      </w:r>
      <w:r>
        <w:t xml:space="preserve">Purchase Order</w:t>
      </w:r>
      <w:r>
        <w:t xml:space="preserve"> </w:t>
      </w:r>
      <w:r>
        <w:t xml:space="preserve">shall be carried out at the Buyer's premises in</w:t>
      </w:r>
      <w:r>
        <w:t xml:space="preserve"> </w:t>
      </w:r>
      <w:r>
        <w:t xml:space="preserve">Egypt Alexandria</w:t>
      </w:r>
      <w:r>
        <w:t xml:space="preserve"> </w:t>
      </w:r>
      <w:r>
        <w:t xml:space="preserve">or at such other location within</w:t>
      </w:r>
      <w:r>
        <w:t xml:space="preserve"> </w:t>
      </w:r>
      <w:r>
        <w:t xml:space="preserve">Egypt Alexandria</w:t>
      </w:r>
      <w:r>
        <w:t xml:space="preserve"> </w:t>
      </w:r>
      <w:r>
        <w:t xml:space="preserve">as mutually agreed in writing. The</w:t>
      </w:r>
      <w:r>
        <w:t xml:space="preserve"> </w:t>
      </w:r>
      <w:r>
        <w:t xml:space="preserve">Mathematician</w:t>
      </w:r>
      <w:r>
        <w:t xml:space="preserve"> </w:t>
      </w:r>
      <w:r>
        <w:t xml:space="preserve">acknowledges that</w:t>
      </w:r>
      <w:r>
        <w:t xml:space="preserve"> </w:t>
      </w:r>
      <w:r>
        <w:t xml:space="preserve">Egypt Alexandria</w:t>
      </w:r>
      <w:r>
        <w:t xml:space="preserve"> </w:t>
      </w:r>
      <w:r>
        <w:t xml:space="preserve">serves as the primary operational base for all deliverables associated with this engagement.</w:t>
      </w:r>
    </w:p>
    <w:p>
      <w:pPr>
        <w:pStyle w:val="BodyText"/>
      </w:pPr>
      <w:r>
        <w:rPr>
          <w:bCs/>
          <w:b/>
        </w:rPr>
        <w:t xml:space="preserve">4.2 Payment Schedule:</w:t>
      </w:r>
      <w:r>
        <w:t xml:space="preserve"> </w:t>
      </w:r>
      <w:r>
        <w:t xml:space="preserve">Payment shall be made in three equal instalments: 30% upon execution of this</w:t>
      </w:r>
      <w:r>
        <w:t xml:space="preserve"> </w:t>
      </w:r>
      <w:r>
        <w:t xml:space="preserve">Purchase Order</w:t>
      </w:r>
      <w:r>
        <w:t xml:space="preserve">, 40% upon completion of the mid-term deliverables, and 30% upon final acceptance of all work products. All payments shall be processed in Egyptian Pounds (EGP) via bank transfer to the account designated by the</w:t>
      </w:r>
      <w:r>
        <w:t xml:space="preserve"> </w:t>
      </w:r>
      <w:r>
        <w:t xml:space="preserve">Mathematician</w:t>
      </w:r>
      <w:r>
        <w:t xml:space="preserve">.</w:t>
      </w:r>
    </w:p>
    <w:p>
      <w:pPr>
        <w:pStyle w:val="BodyText"/>
      </w:pPr>
      <w:r>
        <w:rPr>
          <w:bCs/>
          <w:b/>
        </w:rPr>
        <w:t xml:space="preserve">4.3 Intellectual Property:</w:t>
      </w:r>
      <w:r>
        <w:t xml:space="preserve"> </w:t>
      </w:r>
      <w:r>
        <w:t xml:space="preserve">All mathematical models, algorithms, derivations, and analytical frameworks developed by the</w:t>
      </w:r>
      <w:r>
        <w:t xml:space="preserve"> </w:t>
      </w:r>
      <w:r>
        <w:t xml:space="preserve">Mathematician</w:t>
      </w:r>
      <w:r>
        <w:t xml:space="preserve"> </w:t>
      </w:r>
      <w:r>
        <w:t xml:space="preserve">under this</w:t>
      </w:r>
      <w:r>
        <w:t xml:space="preserve"> </w:t>
      </w:r>
      <w:r>
        <w:t xml:space="preserve">Purchase Order</w:t>
      </w:r>
      <w:r>
        <w:t xml:space="preserve"> </w:t>
      </w:r>
      <w:r>
        <w:t xml:space="preserve">shall become the exclusive property of the Buyer upon full payment. The</w:t>
      </w:r>
      <w:r>
        <w:t xml:space="preserve"> </w:t>
      </w:r>
      <w:r>
        <w:t xml:space="preserve">Mathematician</w:t>
      </w:r>
      <w:r>
        <w:t xml:space="preserve"> </w:t>
      </w:r>
      <w:r>
        <w:t xml:space="preserve">retains the right to reference the general methodology in academic publications, provided that no proprietary data specific to</w:t>
      </w:r>
      <w:r>
        <w:t xml:space="preserve"> </w:t>
      </w:r>
      <w:r>
        <w:t xml:space="preserve">Egypt Alexandria</w:t>
      </w:r>
      <w:r>
        <w:t xml:space="preserve"> </w:t>
      </w:r>
      <w:r>
        <w:t xml:space="preserve">infrastructure is disclosed.</w:t>
      </w:r>
    </w:p>
    <w:p>
      <w:pPr>
        <w:pStyle w:val="BodyText"/>
      </w:pPr>
      <w:r>
        <w:rPr>
          <w:bCs/>
          <w:b/>
        </w:rPr>
        <w:t xml:space="preserve">4.4 Compliance and Licensing:</w:t>
      </w:r>
      <w:r>
        <w:t xml:space="preserve"> </w:t>
      </w:r>
      <w:r>
        <w:t xml:space="preserve">The</w:t>
      </w:r>
      <w:r>
        <w:t xml:space="preserve"> </w:t>
      </w:r>
      <w:r>
        <w:t xml:space="preserve">Mathematician</w:t>
      </w:r>
      <w:r>
        <w:t xml:space="preserve"> </w:t>
      </w:r>
      <w:r>
        <w:t xml:space="preserve">warrants that he holds a valid professional licence issued by the Egyptian Ministry of Higher Education and that all services performed in</w:t>
      </w:r>
      <w:r>
        <w:t xml:space="preserve"> </w:t>
      </w:r>
      <w:r>
        <w:t xml:space="preserve">Egypt Alexandria</w:t>
      </w:r>
      <w:r>
        <w:t xml:space="preserve"> </w:t>
      </w:r>
      <w:r>
        <w:t xml:space="preserve">comply with applicable national regulations governing professional consultancy engagements.</w:t>
      </w:r>
    </w:p>
    <w:p>
      <w:pPr>
        <w:pStyle w:val="BodyText"/>
      </w:pPr>
      <w:r>
        <w:rPr>
          <w:bCs/>
          <w:b/>
        </w:rPr>
        <w:t xml:space="preserve">4.5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Mathematician</w:t>
      </w:r>
      <w:r>
        <w:t xml:space="preserve"> </w:t>
      </w:r>
      <w:r>
        <w:t xml:space="preserve">shall be compensated for all work completed and accepted up to the date of termination, and all deliverables in progress shall be handed over to the Buyer.</w:t>
      </w:r>
    </w:p>
    <w:p>
      <w:pPr>
        <w:pStyle w:val="BodyText"/>
      </w:pPr>
      <w:r>
        <w:rPr>
          <w:bCs/>
          <w:b/>
        </w:rPr>
        <w:t xml:space="preserve">4.6 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disputes arising from this</w:t>
      </w:r>
      <w:r>
        <w:t xml:space="preserve"> </w:t>
      </w:r>
      <w:r>
        <w:t xml:space="preserve">Purchase Order</w:t>
      </w:r>
      <w:r>
        <w:t xml:space="preserve"> </w:t>
      </w:r>
      <w:r>
        <w:t xml:space="preserve">shall be resolved through arbitration in</w:t>
      </w:r>
      <w:r>
        <w:t xml:space="preserve"> </w:t>
      </w:r>
      <w:r>
        <w:t xml:space="preserve">Egypt Alexandria</w:t>
      </w:r>
      <w:r>
        <w:t xml:space="preserve"> </w:t>
      </w:r>
      <w:r>
        <w:t xml:space="preserve">in accordance with the Egyptian Arbitration Law No. 27 of 1994.</w:t>
      </w:r>
    </w:p>
    <w:p>
      <w:pPr>
        <w:pStyle w:val="BodyText"/>
      </w:pPr>
      <w:r>
        <w:rPr>
          <w:bCs/>
          <w:b/>
        </w:rPr>
        <w:t xml:space="preserve">4.7 Confidentiality:</w:t>
      </w:r>
      <w:r>
        <w:t xml:space="preserve"> </w:t>
      </w:r>
      <w:r>
        <w:t xml:space="preserve">The</w:t>
      </w:r>
      <w:r>
        <w:t xml:space="preserve"> </w:t>
      </w:r>
      <w:r>
        <w:t xml:space="preserve">Mathematician</w:t>
      </w:r>
      <w:r>
        <w:t xml:space="preserve"> </w:t>
      </w:r>
      <w:r>
        <w:t xml:space="preserve">agrees to maintain strict confidentiality regarding all data, research findings, and proprietary information encountered during the performance of this</w:t>
      </w:r>
      <w:r>
        <w:t xml:space="preserve"> </w:t>
      </w:r>
      <w:r>
        <w:t xml:space="preserve">Purchase Order</w:t>
      </w:r>
      <w:r>
        <w:t xml:space="preserve"> </w:t>
      </w:r>
      <w:r>
        <w:t xml:space="preserve">in</w:t>
      </w:r>
      <w:r>
        <w:t xml:space="preserve"> </w:t>
      </w:r>
      <w:r>
        <w:t xml:space="preserve">Egypt Alexandria</w:t>
      </w:r>
      <w:r>
        <w:t xml:space="preserve">. This obligation shall survive the termination of this</w:t>
      </w:r>
      <w:r>
        <w:t xml:space="preserve"> </w:t>
      </w:r>
      <w:r>
        <w:t xml:space="preserve">Purchase Order</w:t>
      </w:r>
      <w:r>
        <w:t xml:space="preserve"> </w:t>
      </w:r>
      <w:r>
        <w:t xml:space="preserve">for a period of five (5) years.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Mathematician</w:t>
      </w:r>
      <w:r>
        <w:t xml:space="preserve"> </w:t>
      </w:r>
      <w:r>
        <w:t xml:space="preserve">in</w:t>
      </w:r>
      <w:r>
        <w:t xml:space="preserve"> </w:t>
      </w:r>
      <w:r>
        <w:t xml:space="preserve">Egypt Alexandria</w:t>
      </w:r>
      <w:r>
        <w:t xml:space="preserve">. This document constitutes a binding agreement upon countersignature by both authorized representatives.</w:t>
      </w:r>
    </w:p>
    <w:p>
      <w:pPr>
        <w:pStyle w:val="BodyText"/>
      </w:pPr>
      <w:r>
        <w:rPr>
          <w:bCs/>
          <w:b/>
        </w:rPr>
        <w:t xml:space="preserve">For the Buyer:</w:t>
      </w:r>
    </w:p>
    <w:p>
      <w:pPr>
        <w:pStyle w:val="BodyText"/>
      </w:pPr>
      <w:r>
        <w:t xml:space="preserve">Alexandria University Research &amp; Development Consortium</w:t>
      </w:r>
    </w:p>
    <w:p>
      <w:pPr>
        <w:pStyle w:val="BodyText"/>
      </w:pPr>
      <w:r>
        <w:t xml:space="preserve">Name: Prof. Layla Mansour</w:t>
      </w:r>
    </w:p>
    <w:p>
      <w:pPr>
        <w:pStyle w:val="BodyText"/>
      </w:pPr>
      <w:r>
        <w:t xml:space="preserve">Title: Director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 (Mathematician):</w:t>
      </w:r>
    </w:p>
    <w:p>
      <w:pPr>
        <w:pStyle w:val="BodyText"/>
      </w:pPr>
      <w:r>
        <w:t xml:space="preserve">Dr. Hassan El-Farouk, Ph.D.</w:t>
      </w:r>
    </w:p>
    <w:p>
      <w:pPr>
        <w:pStyle w:val="BodyText"/>
      </w:pPr>
      <w:r>
        <w:t xml:space="preserve">Name: Dr. Hassan El-Farouk</w:t>
      </w:r>
    </w:p>
    <w:p>
      <w:pPr>
        <w:pStyle w:val="BodyText"/>
      </w:pPr>
      <w:r>
        <w:t xml:space="preserve">Title: Independent Mathematician</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(PO-EGY-ALX-2025-0047) is issued for the engagement of a Mathematician in Egypt Alexandria. © 2025 Alexandria University Research &amp; Development Consortium. All rights reserved.</w:t>
      </w:r>
    </w:p>
    <w:p>
      <w:pPr>
        <w:pStyle w:val="BodyText"/>
      </w:pPr>
      <w:r>
        <w:t xml:space="preserve">Page 1 of 1 — End of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Egypt Alexandria</dc:title>
  <dc:creator/>
  <dc:language>en</dc:language>
  <cp:keywords/>
  <dcterms:created xsi:type="dcterms:W3CDTF">2026-10-10T02:35:12Z</dcterms:created>
  <dcterms:modified xsi:type="dcterms:W3CDTF">2026-10-10T02:35:12Z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