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EGY-CAI-2025-04871</w:t>
      </w:r>
    </w:p>
    <w:p>
      <w:pPr>
        <w:pStyle w:val="BodyText"/>
      </w:pPr>
      <w:r>
        <w:t xml:space="preserve">Date of Issue: 15 June 2025</w:t>
      </w:r>
    </w:p>
    <w:p>
      <w:pPr>
        <w:pStyle w:val="BodyText"/>
      </w:pPr>
      <w:r>
        <w:t xml:space="preserve">Valid Until: 15 September 2025</w:t>
      </w:r>
    </w:p>
    <w:bookmarkEnd w:id="20"/>
    <w:bookmarkStart w:id="21" w:name="purchasing-party-buyer"/>
    <w:p>
      <w:pPr>
        <w:pStyle w:val="Heading3"/>
      </w:pPr>
      <w:r>
        <w:t xml:space="preserve">Purchasing Party (Buyer)</w:t>
      </w:r>
    </w:p>
    <w:p>
      <w:pPr>
        <w:pStyle w:val="FirstParagraph"/>
      </w:pPr>
      <w:r>
        <w:rPr>
          <w:bCs/>
          <w:b/>
        </w:rPr>
        <w:t xml:space="preserve">Name:</w:t>
      </w:r>
      <w:r>
        <w:t xml:space="preserve"> </w:t>
      </w:r>
      <w:r>
        <w:t xml:space="preserve">Nile Valley Research &amp; Development Institute</w:t>
      </w:r>
    </w:p>
    <w:p>
      <w:pPr>
        <w:pStyle w:val="BodyText"/>
      </w:pPr>
      <w:r>
        <w:rPr>
          <w:bCs/>
          <w:b/>
        </w:rPr>
        <w:t xml:space="preserve">Address:</w:t>
      </w:r>
      <w:r>
        <w:t xml:space="preserve"> </w:t>
      </w:r>
      <w:r>
        <w:t xml:space="preserve">42 El Tahrir Square, Downtown, Egypt Cairo, 11566</w:t>
      </w:r>
    </w:p>
    <w:p>
      <w:pPr>
        <w:pStyle w:val="BodyText"/>
      </w:pPr>
      <w:r>
        <w:rPr>
          <w:bCs/>
          <w:b/>
        </w:rPr>
        <w:t xml:space="preserve">Contact:</w:t>
      </w:r>
      <w:r>
        <w:t xml:space="preserve"> </w:t>
      </w:r>
      <w:r>
        <w:t xml:space="preserve">procurement@nilevalleyrdi.eg</w:t>
      </w:r>
    </w:p>
    <w:p>
      <w:pPr>
        <w:pStyle w:val="BodyText"/>
      </w:pPr>
      <w:r>
        <w:rPr>
          <w:bCs/>
          <w:b/>
        </w:rPr>
        <w:t xml:space="preserve">Phone:</w:t>
      </w:r>
      <w:r>
        <w:t xml:space="preserve"> </w:t>
      </w:r>
      <w:r>
        <w:t xml:space="preserve">+20 2 2578 4410</w:t>
      </w:r>
    </w:p>
    <w:p>
      <w:pPr>
        <w:pStyle w:val="BodyText"/>
      </w:pPr>
      <w:r>
        <w:rPr>
          <w:bCs/>
          <w:b/>
        </w:rPr>
        <w:t xml:space="preserve">Tax ID:</w:t>
      </w:r>
      <w:r>
        <w:t xml:space="preserve"> </w:t>
      </w:r>
      <w:r>
        <w:t xml:space="preserve">552-881-334-77</w:t>
      </w:r>
    </w:p>
    <w:bookmarkEnd w:id="21"/>
    <w:bookmarkStart w:id="22" w:name="supplier-seller"/>
    <w:p>
      <w:pPr>
        <w:pStyle w:val="Heading3"/>
      </w:pPr>
      <w:r>
        <w:t xml:space="preserve">Supplier (Seller)</w:t>
      </w:r>
    </w:p>
    <w:p>
      <w:pPr>
        <w:pStyle w:val="FirstParagraph"/>
      </w:pPr>
      <w:r>
        <w:rPr>
          <w:bCs/>
          <w:b/>
        </w:rPr>
        <w:t xml:space="preserve">Name:</w:t>
      </w:r>
      <w:r>
        <w:t xml:space="preserve"> </w:t>
      </w:r>
      <w:r>
        <w:t xml:space="preserve">Dr. Amira Hassan, Senior Mathematician</w:t>
      </w:r>
    </w:p>
    <w:p>
      <w:pPr>
        <w:pStyle w:val="BodyText"/>
      </w:pPr>
      <w:r>
        <w:rPr>
          <w:bCs/>
          <w:b/>
        </w:rPr>
        <w:t xml:space="preserve">Address:</w:t>
      </w:r>
      <w:r>
        <w:t xml:space="preserve"> </w:t>
      </w:r>
      <w:r>
        <w:t xml:space="preserve">18 Zamalek Road, Giza District, Egypt Cairo, 12611</w:t>
      </w:r>
    </w:p>
    <w:p>
      <w:pPr>
        <w:pStyle w:val="BodyText"/>
      </w:pPr>
      <w:r>
        <w:rPr>
          <w:bCs/>
          <w:b/>
        </w:rPr>
        <w:t xml:space="preserve">Contact:</w:t>
      </w:r>
      <w:r>
        <w:t xml:space="preserve"> </w:t>
      </w:r>
      <w:r>
        <w:t xml:space="preserve">a.hassan@mathconsult.eg</w:t>
      </w:r>
    </w:p>
    <w:p>
      <w:pPr>
        <w:pStyle w:val="BodyText"/>
      </w:pPr>
      <w:r>
        <w:rPr>
          <w:bCs/>
          <w:b/>
        </w:rPr>
        <w:t xml:space="preserve">Phone:</w:t>
      </w:r>
      <w:r>
        <w:t xml:space="preserve"> </w:t>
      </w:r>
      <w:r>
        <w:t xml:space="preserve">+20 10 5544 8821</w:t>
      </w:r>
    </w:p>
    <w:p>
      <w:pPr>
        <w:pStyle w:val="BodyText"/>
      </w:pPr>
      <w:r>
        <w:rPr>
          <w:bCs/>
          <w:b/>
        </w:rPr>
        <w:t xml:space="preserve">Professional License:</w:t>
      </w:r>
      <w:r>
        <w:t xml:space="preserve"> </w:t>
      </w:r>
      <w:r>
        <w:t xml:space="preserve">MATH-EG-2019-00342</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the Nile Valley Research &amp; Development Institute, headquartered in Egypt Cairo, to formally engage the services of a qualified</w:t>
      </w:r>
      <w:r>
        <w:t xml:space="preserve"> </w:t>
      </w:r>
      <w:r>
        <w:t xml:space="preserve">Mathematician</w:t>
      </w:r>
      <w:r>
        <w:t xml:space="preserve"> </w:t>
      </w:r>
      <w:r>
        <w:t xml:space="preserve">for the duration of the project period specified herein. The</w:t>
      </w:r>
      <w:r>
        <w:t xml:space="preserve"> </w:t>
      </w:r>
      <w:r>
        <w:t xml:space="preserve">Mathematician</w:t>
      </w:r>
      <w:r>
        <w:t xml:space="preserve"> </w:t>
      </w:r>
      <w:r>
        <w:t xml:space="preserve">shall provide advanced mathematical modeling, statistical analysis, and algorithmic design services directly supporting the Institute's ongoing research programs in applied mathematics and computational science. All deliverables under this Purchase Order shall be produced in accordance with the academic and professional standards recognized by the Egyptian Ministry of Higher Education and the Egyptian Mathematical Society, both of which maintain their primary offices in Egypt Cairo.</w:t>
      </w:r>
    </w:p>
    <w:bookmarkEnd w:id="23"/>
    <w:bookmarkStart w:id="24" w:name="line-items-and-services-ordered"/>
    <w:p>
      <w:pPr>
        <w:pStyle w:val="Heading2"/>
      </w:pPr>
      <w:r>
        <w:t xml:space="preserve">2. Line Items and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Mathematician Services</w:t>
            </w:r>
          </w:p>
        </w:tc>
        <w:tc>
          <w:tcPr/>
          <w:p>
            <w:pPr>
              <w:pStyle w:val="Compact"/>
              <w:jc w:val="left"/>
            </w:pPr>
            <w:r>
              <w:t xml:space="preserve">Quantity / Duration</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Advanced mathematical modeling for fluid dynamics research project, including derivation of governing equations and boundary condition analysis, to be conducted at the Institute's laboratory in Egypt Cairo.</w:t>
            </w:r>
          </w:p>
        </w:tc>
        <w:tc>
          <w:tcPr/>
          <w:p>
            <w:pPr>
              <w:pStyle w:val="Compact"/>
              <w:jc w:val="left"/>
            </w:pPr>
            <w:r>
              <w:t xml:space="preserve">120 hours</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Statistical analysis and probabilistic risk assessment for the Institute's infrastructure planning division, requiring the Mathematician to develop Monte Carlo simulation frameworks.</w:t>
            </w:r>
          </w:p>
        </w:tc>
        <w:tc>
          <w:tcPr/>
          <w:p>
            <w:pPr>
              <w:pStyle w:val="Compact"/>
              <w:jc w:val="left"/>
            </w:pPr>
            <w:r>
              <w:t xml:space="preserve">80 hours</w:t>
            </w:r>
          </w:p>
        </w:tc>
        <w:tc>
          <w:tcPr/>
          <w:p>
            <w:pPr>
              <w:pStyle w:val="Compact"/>
              <w:jc w:val="left"/>
            </w:pPr>
            <w:r>
              <w:t xml:space="preserve">1,850</w:t>
            </w:r>
          </w:p>
        </w:tc>
        <w:tc>
          <w:tcPr/>
          <w:p>
            <w:pPr>
              <w:pStyle w:val="Compact"/>
              <w:jc w:val="left"/>
            </w:pPr>
            <w:r>
              <w:t xml:space="preserve">148,000</w:t>
            </w:r>
          </w:p>
        </w:tc>
      </w:tr>
      <w:tr>
        <w:tc>
          <w:tcPr/>
          <w:p>
            <w:pPr>
              <w:pStyle w:val="Compact"/>
              <w:jc w:val="left"/>
            </w:pPr>
            <w:r>
              <w:t xml:space="preserve">03</w:t>
            </w:r>
          </w:p>
        </w:tc>
        <w:tc>
          <w:tcPr/>
          <w:p>
            <w:pPr>
              <w:pStyle w:val="Compact"/>
              <w:jc w:val="left"/>
            </w:pPr>
            <w:r>
              <w:t xml:space="preserve">Algorithm design and optimization for the Institute's data processing pipeline, including complexity analysis and proof of correctness, to be delivered as documented technical reports.</w:t>
            </w:r>
          </w:p>
        </w:tc>
        <w:tc>
          <w:tcPr/>
          <w:p>
            <w:pPr>
              <w:pStyle w:val="Compact"/>
              <w:jc w:val="left"/>
            </w:pPr>
            <w:r>
              <w:t xml:space="preserve">60 hours</w:t>
            </w:r>
          </w:p>
        </w:tc>
        <w:tc>
          <w:tcPr/>
          <w:p>
            <w:pPr>
              <w:pStyle w:val="Compact"/>
              <w:jc w:val="left"/>
            </w:pPr>
            <w:r>
              <w:t xml:space="preserve">2,100</w:t>
            </w:r>
          </w:p>
        </w:tc>
        <w:tc>
          <w:tcPr/>
          <w:p>
            <w:pPr>
              <w:pStyle w:val="Compact"/>
              <w:jc w:val="left"/>
            </w:pPr>
            <w:r>
              <w:t xml:space="preserve">126,000</w:t>
            </w:r>
          </w:p>
        </w:tc>
      </w:tr>
      <w:tr>
        <w:tc>
          <w:tcPr/>
          <w:p>
            <w:pPr>
              <w:pStyle w:val="Compact"/>
              <w:jc w:val="left"/>
            </w:pPr>
            <w:r>
              <w:t xml:space="preserve">04</w:t>
            </w:r>
          </w:p>
        </w:tc>
        <w:tc>
          <w:tcPr/>
          <w:p>
            <w:pPr>
              <w:pStyle w:val="Compact"/>
              <w:jc w:val="left"/>
            </w:pPr>
            <w:r>
              <w:t xml:space="preserve">On-site consultation and mentoring sessions for junior research staff at the Institute's Egypt Cairo campus, covering topics in numerical methods, linear algebra, and differential equations.</w:t>
            </w:r>
          </w:p>
        </w:tc>
        <w:tc>
          <w:tcPr/>
          <w:p>
            <w:pPr>
              <w:pStyle w:val="Compact"/>
              <w:jc w:val="left"/>
            </w:pPr>
            <w:r>
              <w:t xml:space="preserve">24 sessions</w:t>
            </w:r>
          </w:p>
        </w:tc>
        <w:tc>
          <w:tcPr/>
          <w:p>
            <w:pPr>
              <w:pStyle w:val="Compact"/>
              <w:jc w:val="left"/>
            </w:pPr>
            <w:r>
              <w:t xml:space="preserve">3,500</w:t>
            </w:r>
          </w:p>
        </w:tc>
        <w:tc>
          <w:tcPr/>
          <w:p>
            <w:pPr>
              <w:pStyle w:val="Compact"/>
              <w:jc w:val="left"/>
            </w:pPr>
            <w:r>
              <w:t xml:space="preserve">84,000</w:t>
            </w:r>
          </w:p>
        </w:tc>
      </w:tr>
      <w:tr>
        <w:tc>
          <w:tcPr/>
          <w:p>
            <w:pPr>
              <w:pStyle w:val="Compact"/>
              <w:jc w:val="left"/>
            </w:pPr>
            <w:r>
              <w:t xml:space="preserve">05</w:t>
            </w:r>
          </w:p>
        </w:tc>
        <w:tc>
          <w:tcPr/>
          <w:p>
            <w:pPr>
              <w:pStyle w:val="Compact"/>
              <w:jc w:val="left"/>
            </w:pPr>
            <w:r>
              <w:t xml:space="preserve">Preparation of a comprehensive technical report summarizing all mathematical findings, proofs, and recommendations for the Institute's annual review board in Egypt Cairo.</w:t>
            </w:r>
          </w:p>
        </w:tc>
        <w:tc>
          <w:tcPr/>
          <w:p>
            <w:pPr>
              <w:pStyle w:val="Compact"/>
              <w:jc w:val="left"/>
            </w:pPr>
            <w:r>
              <w:t xml:space="preserve">1 deliverable</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right"/>
            </w:pPr>
            <w:r>
              <w:t xml:space="preserve">Grand Total (EGP):</w:t>
            </w:r>
          </w:p>
        </w:tc>
        <w:tc>
          <w:tcPr/>
          <w:p>
            <w:pPr>
              <w:pStyle w:val="Compact"/>
              <w:jc w:val="left"/>
            </w:pPr>
            <w:r>
              <w:t xml:space="preserve">625,000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Mathematician within ten (10) business days of the date of issue. The Mathematician's acceptance confirms full understanding of all obligations outlined in this document.</w:t>
      </w:r>
    </w:p>
    <w:p>
      <w:pPr>
        <w:numPr>
          <w:ilvl w:val="0"/>
          <w:numId w:val="1001"/>
        </w:numPr>
        <w:pStyle w:val="Compact"/>
      </w:pPr>
      <w:r>
        <w:rPr>
          <w:bCs/>
          <w:b/>
        </w:rPr>
        <w:t xml:space="preserve">Place of Performance:</w:t>
      </w:r>
      <w:r>
        <w:t xml:space="preserve"> </w:t>
      </w:r>
      <w:r>
        <w:t xml:space="preserve">All services under this Purchase Order shall be performed primarily at the Nile Valley Research &amp; Development Institute premises located in Egypt Cairo, unless otherwise agreed in writing by both parties. Remote work from any location within Egypt Cairo is permissible for up to thirty percent of total contracted hours.</w:t>
      </w:r>
    </w:p>
    <w:p>
      <w:pPr>
        <w:numPr>
          <w:ilvl w:val="0"/>
          <w:numId w:val="1001"/>
        </w:numPr>
        <w:pStyle w:val="Compact"/>
      </w:pPr>
      <w:r>
        <w:rPr>
          <w:bCs/>
          <w:b/>
        </w:rPr>
        <w:t xml:space="preserve">Payment Terms:</w:t>
      </w:r>
      <w:r>
        <w:t xml:space="preserve"> </w:t>
      </w:r>
      <w:r>
        <w:t xml:space="preserve">Payment shall be made in three equal installments: thirty-three percent (33%) upon execution of this Purchase Order, thirty-three percent (33%) upon completion of Item Nos. 01 and 02, and the remaining thirty-four percent (34%) upon final delivery and acceptance of all deliverables. All payments shall be made in Egyptian Pounds (EGP) via bank transfer to the account designated by the Mathematician.</w:t>
      </w:r>
    </w:p>
    <w:p>
      <w:pPr>
        <w:numPr>
          <w:ilvl w:val="0"/>
          <w:numId w:val="1001"/>
        </w:numPr>
        <w:pStyle w:val="Compact"/>
      </w:pPr>
      <w:r>
        <w:rPr>
          <w:bCs/>
          <w:b/>
        </w:rPr>
        <w:t xml:space="preserve">Intellectual Property:</w:t>
      </w:r>
      <w:r>
        <w:t xml:space="preserve"> </w:t>
      </w:r>
      <w:r>
        <w:t xml:space="preserve">All mathematical models, proofs, algorithms, and written reports produced by the Mathematician under this Purchase Order shall become the exclusive property of the Nile Valley Research &amp; Development Institute upon full payment. The Mathematician retains the right to reference the work in academic publications with prior written consent from the Institute.</w:t>
      </w:r>
    </w:p>
    <w:p>
      <w:pPr>
        <w:numPr>
          <w:ilvl w:val="0"/>
          <w:numId w:val="1001"/>
        </w:numPr>
        <w:pStyle w:val="Compact"/>
      </w:pPr>
      <w:r>
        <w:rPr>
          <w:bCs/>
          <w:b/>
        </w:rPr>
        <w:t xml:space="preserve">Confidentiality:</w:t>
      </w:r>
      <w:r>
        <w:t xml:space="preserve"> </w:t>
      </w:r>
      <w:r>
        <w:t xml:space="preserve">The Mathematician agrees to maintain strict confidentiality regarding all proprietary data, research findings, and institutional information encountered during the performance of services in Egypt Cairo.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Mathematician shall be compensated for all services rendered up to the date of termination, and all work-in-progress materials shall be delivered to the Institute.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Any disputes arising from this Purchase Order shall be resolved through arbitration in Egypt Cairo in accordance with the rules of the Egyptian Arbitration Center.</w:t>
      </w:r>
    </w:p>
    <w:p>
      <w:pPr>
        <w:numPr>
          <w:ilvl w:val="0"/>
          <w:numId w:val="1001"/>
        </w:numPr>
        <w:pStyle w:val="Compact"/>
      </w:pPr>
      <w:r>
        <w:rPr>
          <w:bCs/>
          <w:b/>
        </w:rPr>
        <w:t xml:space="preserve">Compliance:</w:t>
      </w:r>
      <w:r>
        <w:t xml:space="preserve"> </w:t>
      </w:r>
      <w:r>
        <w:t xml:space="preserve">The Mathematician warrants that all services shall comply with applicable Egyptian labor regulations, professional licensing requirements, and the ethical standards of the Egyptian Mathematical Society. The Mathematician shall maintain valid professional registration throughout the term of this Purchase Order.</w:t>
      </w:r>
    </w:p>
    <w:bookmarkEnd w:id="25"/>
    <w:bookmarkStart w:id="26" w:name="delivery-schedule"/>
    <w:p>
      <w:pPr>
        <w:pStyle w:val="Heading2"/>
      </w:pPr>
      <w:r>
        <w:t xml:space="preserve">4.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Project Kickoff</w:t>
            </w:r>
          </w:p>
        </w:tc>
        <w:tc>
          <w:tcPr/>
          <w:p>
            <w:pPr>
              <w:pStyle w:val="Compact"/>
              <w:jc w:val="left"/>
            </w:pPr>
            <w:r>
              <w:t xml:space="preserve">1 July 2025</w:t>
            </w:r>
          </w:p>
        </w:tc>
        <w:tc>
          <w:tcPr/>
          <w:p>
            <w:pPr>
              <w:pStyle w:val="Compact"/>
              <w:jc w:val="left"/>
            </w:pPr>
            <w:r>
              <w:t xml:space="preserve">Initial meeting at Egypt Cairo office; scope confirmation</w:t>
            </w:r>
          </w:p>
        </w:tc>
      </w:tr>
      <w:tr>
        <w:tc>
          <w:tcPr/>
          <w:p>
            <w:pPr>
              <w:pStyle w:val="Compact"/>
              <w:jc w:val="left"/>
            </w:pPr>
            <w:r>
              <w:t xml:space="preserve">Mid-Project Review</w:t>
            </w:r>
          </w:p>
        </w:tc>
        <w:tc>
          <w:tcPr/>
          <w:p>
            <w:pPr>
              <w:pStyle w:val="Compact"/>
              <w:jc w:val="left"/>
            </w:pPr>
            <w:r>
              <w:t xml:space="preserve">15 August 2025</w:t>
            </w:r>
          </w:p>
        </w:tc>
        <w:tc>
          <w:tcPr/>
          <w:p>
            <w:pPr>
              <w:pStyle w:val="Compact"/>
              <w:jc w:val="left"/>
            </w:pPr>
            <w:r>
              <w:t xml:space="preserve">Interim progress report; partial deliverables for Items 01–03</w:t>
            </w:r>
          </w:p>
        </w:tc>
      </w:tr>
      <w:tr>
        <w:tc>
          <w:tcPr/>
          <w:p>
            <w:pPr>
              <w:pStyle w:val="Compact"/>
              <w:jc w:val="left"/>
            </w:pPr>
            <w:r>
              <w:t xml:space="preserve">Final Delivery</w:t>
            </w:r>
          </w:p>
        </w:tc>
        <w:tc>
          <w:tcPr/>
          <w:p>
            <w:pPr>
              <w:pStyle w:val="Compact"/>
              <w:jc w:val="left"/>
            </w:pPr>
            <w:r>
              <w:t xml:space="preserve">30 September 2025</w:t>
            </w:r>
          </w:p>
        </w:tc>
        <w:tc>
          <w:tcPr/>
          <w:p>
            <w:pPr>
              <w:pStyle w:val="Compact"/>
              <w:jc w:val="left"/>
            </w:pPr>
            <w:r>
              <w:t xml:space="preserve">Complete technical report; all mentoring sessions concluded</w:t>
            </w:r>
          </w:p>
        </w:tc>
      </w:tr>
    </w:tbl>
    <w:bookmarkEnd w:id="26"/>
    <w:p>
      <w:pPr>
        <w:pStyle w:val="BodyText"/>
      </w:pPr>
      <w:r>
        <w:rPr>
          <w:bCs/>
          <w:b/>
        </w:rPr>
        <w:t xml:space="preserve">For and on behalf of the Purchasing Party:</w:t>
      </w:r>
    </w:p>
    <w:p>
      <w:pPr>
        <w:pStyle w:val="BodyText"/>
      </w:pPr>
      <w:r>
        <w:t xml:space="preserve">Dr. Khalid Mansour</w:t>
      </w:r>
    </w:p>
    <w:p>
      <w:pPr>
        <w:pStyle w:val="BodyText"/>
      </w:pPr>
      <w:r>
        <w:t xml:space="preserve">Director of Procurement</w:t>
      </w:r>
    </w:p>
    <w:p>
      <w:pPr>
        <w:pStyle w:val="BodyText"/>
      </w:pPr>
      <w:r>
        <w:t xml:space="preserve">Nile Valley Research &amp; Development Institute, Egypt Cairo</w:t>
      </w:r>
    </w:p>
    <w:p>
      <w:pPr>
        <w:pStyle w:val="BodyText"/>
      </w:pPr>
      <w:r>
        <w:t xml:space="preserve">Date: _______________</w:t>
      </w:r>
    </w:p>
    <w:p>
      <w:pPr>
        <w:pStyle w:val="BodyText"/>
      </w:pPr>
      <w:r>
        <w:rPr>
          <w:bCs/>
          <w:b/>
        </w:rPr>
        <w:t xml:space="preserve">For and on behalf of the Mathematician:</w:t>
      </w:r>
    </w:p>
    <w:p>
      <w:pPr>
        <w:pStyle w:val="BodyText"/>
      </w:pPr>
      <w:r>
        <w:t xml:space="preserve">Dr. Amira Hassan</w:t>
      </w:r>
    </w:p>
    <w:p>
      <w:pPr>
        <w:pStyle w:val="BodyText"/>
      </w:pPr>
      <w:r>
        <w:t xml:space="preserve">Senior Mathematician</w:t>
      </w:r>
    </w:p>
    <w:p>
      <w:pPr>
        <w:pStyle w:val="BodyText"/>
      </w:pPr>
      <w:r>
        <w:t xml:space="preserve">Professional License: MATH-EG-2019-00342</w:t>
      </w:r>
    </w:p>
    <w:p>
      <w:pPr>
        <w:pStyle w:val="BodyText"/>
      </w:pPr>
      <w:r>
        <w:t xml:space="preserve">Date: _______________</w:t>
      </w:r>
    </w:p>
    <w:p>
      <w:pPr>
        <w:pStyle w:val="BodyText"/>
      </w:pPr>
      <w:r>
        <w:t xml:space="preserve">This Purchase Order (No. EGY-CAI-2025-04871) is issued in duplicate. One copy is retained by the Nile Valley Research &amp; Development Institute in Egypt Cairo, and one copy is provided to the Mathematician. This document constitutes a legally binding agreement upon full execution by both parties. Unauthorized reproduction or distribution of this Purchase Order is strictly prohibited.</w:t>
      </w:r>
    </w:p>
    <w:p>
      <w:pPr>
        <w:pStyle w:val="BodyText"/>
      </w:pPr>
      <w:r>
        <w:t xml:space="preserve">© 2025 Nile Valley Research &amp; Development Institute, Egypt Cairo.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Egypt Cairo</dc:title>
  <dc:creator/>
  <dc:language>en</dc:language>
  <cp:keywords/>
  <dcterms:created xsi:type="dcterms:W3CDTF">2026-10-10T02:30:02Z</dcterms:created>
  <dcterms:modified xsi:type="dcterms:W3CDTF">2026-10-10T02:30:02Z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