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Services Procurement – Mathematician Engagement</w:t>
      </w:r>
    </w:p>
    <w:p>
      <w:pPr>
        <w:pStyle w:val="BodyText"/>
      </w:pPr>
      <w:r>
        <w:t xml:space="preserve">Kingdom of Saudi Arabia | Jeddah, Makkah Province</w:t>
      </w:r>
    </w:p>
    <w:bookmarkEnd w:id="20"/>
    <w:p>
      <w:pPr>
        <w:pStyle w:val="BodyText"/>
      </w:pPr>
      <w:r>
        <w:t xml:space="preserve">Purchase Order Number:</w:t>
      </w:r>
      <w:r>
        <w:t xml:space="preserve"> </w:t>
      </w:r>
      <w:r>
        <w:t xml:space="preserve">PO-JED-2025-04871</w:t>
      </w:r>
    </w:p>
    <w:p>
      <w:pPr>
        <w:pStyle w:val="BodyText"/>
      </w:pPr>
      <w:r>
        <w:t xml:space="preserve">Date of Issue:</w:t>
      </w:r>
      <w:r>
        <w:t xml:space="preserve"> </w:t>
      </w:r>
      <w:r>
        <w:t xml:space="preserve">15 June 2025</w:t>
      </w:r>
    </w:p>
    <w:p>
      <w:pPr>
        <w:pStyle w:val="BodyText"/>
      </w:pPr>
      <w:r>
        <w:t xml:space="preserve">Delivery Location:</w:t>
      </w:r>
      <w:r>
        <w:t xml:space="preserve"> </w:t>
      </w:r>
      <w:r>
        <w:t xml:space="preserve">Jeddah, Saudi Arabia</w:t>
      </w:r>
    </w:p>
    <w:p>
      <w:pPr>
        <w:pStyle w:val="BodyText"/>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Al-Nakheel Advanced Research &amp; Analytics Institute, P.O. Box 4521, Corniche Road, Jeddah 23412, Saudi Arabia. VAT Registration No. 310123456700003. Contact: Procurement Department, Tel: +966-12-645-8890.</w:t>
            </w:r>
          </w:p>
        </w:tc>
      </w:tr>
      <w:tr>
        <w:tc>
          <w:tcPr/>
          <w:p>
            <w:pPr>
              <w:pStyle w:val="Compact"/>
              <w:jc w:val="left"/>
            </w:pPr>
            <w:r>
              <w:rPr>
                <w:bCs/>
                <w:b/>
              </w:rPr>
              <w:t xml:space="preserve">Service Provider (Seller)</w:t>
            </w:r>
          </w:p>
        </w:tc>
        <w:tc>
          <w:tcPr/>
          <w:p>
            <w:pPr>
              <w:pStyle w:val="Compact"/>
              <w:jc w:val="left"/>
            </w:pPr>
            <w:r>
              <w:t xml:space="preserve">Dr. Khalid Al-Rashidi, Senior Mathematician and Applied Research Consultant. Registered Office: Office 12, Business Bay Tower, Prince Sultan Road, Jeddah 21589, Saudi Arabia. Professional License No. MAT-2024-00932. Contact: +966-55-782-3341.</w:t>
            </w:r>
          </w:p>
        </w:tc>
      </w:tr>
      <w:tr>
        <w:tc>
          <w:tcPr/>
          <w:p>
            <w:pPr>
              <w:pStyle w:val="Compact"/>
              <w:jc w:val="left"/>
            </w:pPr>
            <w:r>
              <w:rPr>
                <w:bCs/>
                <w:b/>
              </w:rPr>
              <w:t xml:space="preserve">Project Reference</w:t>
            </w:r>
          </w:p>
        </w:tc>
        <w:tc>
          <w:tcPr/>
          <w:p>
            <w:pPr>
              <w:pStyle w:val="Compact"/>
              <w:jc w:val="left"/>
            </w:pPr>
            <w:r>
              <w:t xml:space="preserve">Mathematician Engagement for Quantitative Modelling and Statistical Analysis – Phase II, Jeddah Operations Division.</w:t>
            </w:r>
          </w:p>
        </w:tc>
      </w:tr>
    </w:tbl>
    <w:p>
      <w:pPr>
        <w:pStyle w:val="BodyText"/>
      </w:pPr>
      <w:r>
        <w:t xml:space="preserve">2. Scope of Services – Mathematician Engagement</w:t>
      </w:r>
    </w:p>
    <w:p>
      <w:pPr>
        <w:pStyle w:val="BodyText"/>
      </w:pPr>
      <w:r>
        <w:t xml:space="preserve">This Purchase Order formally authorises the procurement of professional services rendered by a qualified</w:t>
      </w:r>
      <w:r>
        <w:t xml:space="preserve"> </w:t>
      </w:r>
      <w:r>
        <w:rPr>
          <w:bCs/>
          <w:b/>
        </w:rPr>
        <w:t xml:space="preserve">Mathematician</w:t>
      </w:r>
      <w:r>
        <w:t xml:space="preserve"> </w:t>
      </w:r>
      <w:r>
        <w:t xml:space="preserve">to support the Al-Nakheel Advanced Research &amp; Analytics Institute in Jeddah, Saudi Arabia. The Mathematician shall be responsible for the following deliverables and activities as outlined in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(SAR)</w:t>
            </w:r>
          </w:p>
        </w:tc>
      </w:tr>
      <w:tr>
        <w:tc>
          <w:tcPr/>
          <w:p>
            <w:pPr>
              <w:pStyle w:val="Compact"/>
              <w:jc w:val="left"/>
            </w:pPr>
            <w:r>
              <w:t xml:space="preserve">1</w:t>
            </w:r>
          </w:p>
        </w:tc>
        <w:tc>
          <w:tcPr/>
          <w:p>
            <w:pPr>
              <w:pStyle w:val="Compact"/>
              <w:jc w:val="left"/>
            </w:pPr>
            <w:r>
              <w:t xml:space="preserve">Development of advanced stochastic models for risk assessment in the Jeddah port logistics network, including Monte Carlo simulations and Bayesian inference frameworks.</w:t>
            </w:r>
          </w:p>
        </w:tc>
        <w:tc>
          <w:tcPr/>
          <w:p>
            <w:pPr>
              <w:pStyle w:val="Compact"/>
              <w:jc w:val="left"/>
            </w:pPr>
            <w:r>
              <w:t xml:space="preserve">8 weeks</w:t>
            </w:r>
          </w:p>
        </w:tc>
        <w:tc>
          <w:tcPr/>
          <w:p>
            <w:pPr>
              <w:pStyle w:val="Compact"/>
              <w:jc w:val="left"/>
            </w:pPr>
            <w:r>
              <w:t xml:space="preserve">Project</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Design and implementation of differential equation-based forecasting systems for energy consumption patterns across the Makkah Province industrial zone.</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142,500.00</w:t>
            </w:r>
          </w:p>
        </w:tc>
      </w:tr>
      <w:tr>
        <w:tc>
          <w:tcPr/>
          <w:p>
            <w:pPr>
              <w:pStyle w:val="Compact"/>
              <w:jc w:val="left"/>
            </w:pPr>
            <w:r>
              <w:t xml:space="preserve">3</w:t>
            </w:r>
          </w:p>
        </w:tc>
        <w:tc>
          <w:tcPr/>
          <w:p>
            <w:pPr>
              <w:pStyle w:val="Compact"/>
              <w:jc w:val="left"/>
            </w:pPr>
            <w:r>
              <w:t xml:space="preserve">On-site consultation and mentoring sessions for the internal data science team at the Jeddah headquarters, covering topics in numerical analysis, optimisation theory, and topological data analysis.</w:t>
            </w:r>
          </w:p>
        </w:tc>
        <w:tc>
          <w:tcPr/>
          <w:p>
            <w:pPr>
              <w:pStyle w:val="Compact"/>
              <w:jc w:val="left"/>
            </w:pPr>
            <w:r>
              <w:t xml:space="preserve">12 sessions</w:t>
            </w:r>
          </w:p>
        </w:tc>
        <w:tc>
          <w:tcPr/>
          <w:p>
            <w:pPr>
              <w:pStyle w:val="Compact"/>
              <w:jc w:val="left"/>
            </w:pPr>
            <w:r>
              <w:t xml:space="preserve">Per session</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Preparation of a comprehensive mathematical feasibility report for the proposed smart-city infrastructure project in Jeddah, incorporating graph theory and network flow algorithms.</w:t>
            </w:r>
          </w:p>
        </w:tc>
        <w:tc>
          <w:tcPr/>
          <w:p>
            <w:pPr>
              <w:pStyle w:val="Compact"/>
              <w:jc w:val="left"/>
            </w:pPr>
            <w:r>
              <w:t xml:space="preserve">4 weeks</w:t>
            </w:r>
          </w:p>
        </w:tc>
        <w:tc>
          <w:tcPr/>
          <w:p>
            <w:pPr>
              <w:pStyle w:val="Compact"/>
              <w:jc w:val="left"/>
            </w:pPr>
            <w:r>
              <w:t xml:space="preserve">Deliverable</w:t>
            </w:r>
          </w:p>
        </w:tc>
        <w:tc>
          <w:tcPr/>
          <w:p>
            <w:pPr>
              <w:pStyle w:val="Compact"/>
              <w:jc w:val="left"/>
            </w:pPr>
            <w:r>
              <w:t xml:space="preserve">98,000.00</w:t>
            </w:r>
          </w:p>
        </w:tc>
      </w:tr>
      <w:tr>
        <w:tc>
          <w:tcPr/>
          <w:p>
            <w:pPr>
              <w:pStyle w:val="Compact"/>
              <w:jc w:val="left"/>
            </w:pPr>
            <w:r>
              <w:t xml:space="preserve">5</w:t>
            </w:r>
          </w:p>
        </w:tc>
        <w:tc>
          <w:tcPr/>
          <w:p>
            <w:pPr>
              <w:pStyle w:val="Compact"/>
              <w:jc w:val="left"/>
            </w:pPr>
            <w:r>
              <w:t xml:space="preserve">Peer review and validation of existing mathematical documentation, code repositories, and analytical pipelines maintained by the Institute in Saudi Arabia Jeddah.</w:t>
            </w:r>
          </w:p>
        </w:tc>
        <w:tc>
          <w:tcPr/>
          <w:p>
            <w:pPr>
              <w:pStyle w:val="Compact"/>
              <w:jc w:val="left"/>
            </w:pPr>
            <w:r>
              <w:t xml:space="preserve">3 weeks</w:t>
            </w:r>
          </w:p>
        </w:tc>
        <w:tc>
          <w:tcPr/>
          <w:p>
            <w:pPr>
              <w:pStyle w:val="Compact"/>
              <w:jc w:val="left"/>
            </w:pPr>
            <w:r>
              <w:t xml:space="preserve">Project</w:t>
            </w:r>
          </w:p>
        </w:tc>
        <w:tc>
          <w:tcPr/>
          <w:p>
            <w:pPr>
              <w:pStyle w:val="Compact"/>
              <w:jc w:val="left"/>
            </w:pPr>
            <w:r>
              <w:t xml:space="preserve">67,500.00</w:t>
            </w:r>
          </w:p>
        </w:tc>
      </w:tr>
      <w:tr>
        <w:tc>
          <w:tcPr/>
          <w:p>
            <w:pPr>
              <w:pStyle w:val="Compact"/>
              <w:jc w:val="left"/>
            </w:pPr>
            <w:r>
              <w:t xml:space="preserve">6</w:t>
            </w:r>
          </w:p>
        </w:tc>
        <w:tc>
          <w:tcPr/>
          <w:p>
            <w:pPr>
              <w:pStyle w:val="Compact"/>
              <w:jc w:val="left"/>
            </w:pPr>
            <w:r>
              <w:t xml:space="preserve">Emergency mathematical advisory support (on-call basis) for critical modelling issues arising during the project lifecycle in Jeddah.</w:t>
            </w:r>
          </w:p>
        </w:tc>
        <w:tc>
          <w:tcPr/>
          <w:p>
            <w:pPr>
              <w:pStyle w:val="Compact"/>
              <w:jc w:val="left"/>
            </w:pPr>
            <w:r>
              <w:t xml:space="preserve">6 months</w:t>
            </w:r>
          </w:p>
        </w:tc>
        <w:tc>
          <w:tcPr/>
          <w:p>
            <w:pPr>
              <w:pStyle w:val="Compact"/>
              <w:jc w:val="left"/>
            </w:pPr>
            <w:r>
              <w:t xml:space="preserve">Retainer</w:t>
            </w:r>
          </w:p>
        </w:tc>
        <w:tc>
          <w:tcPr/>
          <w:p>
            <w:pPr>
              <w:pStyle w:val="Compact"/>
              <w:jc w:val="left"/>
            </w:pPr>
            <w:r>
              <w:t xml:space="preserve">36,000.00</w:t>
            </w:r>
          </w:p>
        </w:tc>
      </w:tr>
      <w:tr>
        <w:tc>
          <w:tcPr>
            <w:gridSpan w:val="4"/>
          </w:tcPr>
          <w:p>
            <w:pPr>
              <w:pStyle w:val="Compact"/>
              <w:jc w:val="right"/>
            </w:pPr>
            <w:r>
              <w:t xml:space="preserve">Subtotal (SAR)</w:t>
            </w:r>
          </w:p>
        </w:tc>
        <w:tc>
          <w:tcPr/>
          <w:p>
            <w:pPr>
              <w:pStyle w:val="Compact"/>
              <w:jc w:val="left"/>
            </w:pPr>
            <w:r>
              <w:t xml:space="preserve">587,000.00</w:t>
            </w:r>
          </w:p>
        </w:tc>
      </w:tr>
      <w:tr>
        <w:tc>
          <w:tcPr>
            <w:gridSpan w:val="4"/>
          </w:tcPr>
          <w:p>
            <w:pPr>
              <w:pStyle w:val="Compact"/>
              <w:jc w:val="right"/>
            </w:pPr>
            <w:r>
              <w:t xml:space="preserve">VAT @ 15% (Saudi Arabia)</w:t>
            </w:r>
          </w:p>
        </w:tc>
        <w:tc>
          <w:tcPr/>
          <w:p>
            <w:pPr>
              <w:pStyle w:val="Compact"/>
              <w:jc w:val="left"/>
            </w:pPr>
            <w:r>
              <w:t xml:space="preserve">88,050.00</w:t>
            </w:r>
          </w:p>
        </w:tc>
      </w:tr>
      <w:tr>
        <w:tc>
          <w:tcPr>
            <w:gridSpan w:val="4"/>
          </w:tcPr>
          <w:p>
            <w:pPr>
              <w:pStyle w:val="Compact"/>
              <w:jc w:val="right"/>
            </w:pPr>
            <w:r>
              <w:t xml:space="preserve">TOTAL AMOUNT DUE (SAR)</w:t>
            </w:r>
          </w:p>
        </w:tc>
        <w:tc>
          <w:tcPr/>
          <w:p>
            <w:pPr>
              <w:pStyle w:val="Compact"/>
              <w:jc w:val="left"/>
            </w:pPr>
            <w:r>
              <w:t xml:space="preserve">675,050.00</w:t>
            </w:r>
          </w:p>
        </w:tc>
      </w:tr>
    </w:tbl>
    <w:p>
      <w:pPr>
        <w:pStyle w:val="BodyText"/>
      </w:pPr>
      <w:r>
        <w:t xml:space="preserve">3. Payment Terms</w:t>
      </w:r>
    </w:p>
    <w:p>
      <w:pPr>
        <w:pStyle w:val="BodyText"/>
      </w:pPr>
      <w:r>
        <w:t xml:space="preserve">Payment for this Purchase Order shall be processed in accordance with the following schedule, all amounts denominated in Saudi Riyal (SAR) and remitted via bank transfer to the account of the Mathematician as specified in the contract annexure: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(SAR)</w:t>
            </w:r>
          </w:p>
        </w:tc>
        <w:tc>
          <w:tcPr/>
          <w:p>
            <w:pPr>
              <w:pStyle w:val="Compact"/>
              <w:jc w:val="left"/>
            </w:pPr>
            <w:r>
              <w:t xml:space="preserve">Due Date</w:t>
            </w:r>
          </w:p>
        </w:tc>
      </w:tr>
      <w:tr>
        <w:tc>
          <w:tcPr/>
          <w:p>
            <w:pPr>
              <w:pStyle w:val="Compact"/>
              <w:jc w:val="left"/>
            </w:pPr>
            <w:r>
              <w:t xml:space="preserve">Upon acceptance of this Purchase Order and commencement of work</w:t>
            </w:r>
          </w:p>
        </w:tc>
        <w:tc>
          <w:tcPr/>
          <w:p>
            <w:pPr>
              <w:pStyle w:val="Compact"/>
              <w:jc w:val="left"/>
            </w:pPr>
            <w:r>
              <w:t xml:space="preserve">30%</w:t>
            </w:r>
          </w:p>
        </w:tc>
        <w:tc>
          <w:tcPr/>
          <w:p>
            <w:pPr>
              <w:pStyle w:val="Compact"/>
              <w:jc w:val="left"/>
            </w:pPr>
            <w:r>
              <w:t xml:space="preserve">202,515.00</w:t>
            </w:r>
          </w:p>
        </w:tc>
        <w:tc>
          <w:tcPr/>
          <w:p>
            <w:pPr>
              <w:pStyle w:val="Compact"/>
              <w:jc w:val="left"/>
            </w:pPr>
            <w:r>
              <w:t xml:space="preserve">22 June 2025</w:t>
            </w:r>
          </w:p>
        </w:tc>
      </w:tr>
      <w:tr>
        <w:tc>
          <w:tcPr/>
          <w:p>
            <w:pPr>
              <w:pStyle w:val="Compact"/>
              <w:jc w:val="left"/>
            </w:pPr>
            <w:r>
              <w:t xml:space="preserve">Upon delivery and approval of Stochastic Model (Item 1)</w:t>
            </w:r>
          </w:p>
        </w:tc>
        <w:tc>
          <w:tcPr/>
          <w:p>
            <w:pPr>
              <w:pStyle w:val="Compact"/>
              <w:jc w:val="left"/>
            </w:pPr>
            <w:r>
              <w:t xml:space="preserve">25%</w:t>
            </w:r>
          </w:p>
        </w:tc>
        <w:tc>
          <w:tcPr/>
          <w:p>
            <w:pPr>
              <w:pStyle w:val="Compact"/>
              <w:jc w:val="left"/>
            </w:pPr>
            <w:r>
              <w:t xml:space="preserve">168,762.50</w:t>
            </w:r>
          </w:p>
        </w:tc>
        <w:tc>
          <w:tcPr/>
          <w:p>
            <w:pPr>
              <w:pStyle w:val="Compact"/>
              <w:jc w:val="left"/>
            </w:pPr>
            <w:r>
              <w:t xml:space="preserve">30 August 2025</w:t>
            </w:r>
          </w:p>
        </w:tc>
      </w:tr>
      <w:tr>
        <w:tc>
          <w:tcPr/>
          <w:p>
            <w:pPr>
              <w:pStyle w:val="Compact"/>
              <w:jc w:val="left"/>
            </w:pPr>
            <w:r>
              <w:t xml:space="preserve">Upon delivery and approval of Forecasting System (Item 2)</w:t>
            </w:r>
          </w:p>
        </w:tc>
        <w:tc>
          <w:tcPr/>
          <w:p>
            <w:pPr>
              <w:pStyle w:val="Compact"/>
              <w:jc w:val="left"/>
            </w:pPr>
            <w:r>
              <w:t xml:space="preserve">20%</w:t>
            </w:r>
          </w:p>
        </w:tc>
        <w:tc>
          <w:tcPr/>
          <w:p>
            <w:pPr>
              <w:pStyle w:val="Compact"/>
              <w:jc w:val="left"/>
            </w:pPr>
            <w:r>
              <w:t xml:space="preserve">135,010.00</w:t>
            </w:r>
          </w:p>
        </w:tc>
        <w:tc>
          <w:tcPr/>
          <w:p>
            <w:pPr>
              <w:pStyle w:val="Compact"/>
              <w:jc w:val="left"/>
            </w:pPr>
            <w:r>
              <w:t xml:space="preserve">15 October 2025</w:t>
            </w:r>
          </w:p>
        </w:tc>
      </w:tr>
      <w:tr>
        <w:tc>
          <w:tcPr/>
          <w:p>
            <w:pPr>
              <w:pStyle w:val="Compact"/>
              <w:jc w:val="left"/>
            </w:pPr>
            <w:r>
              <w:t xml:space="preserve">Upon final acceptance of all deliverables and completion of advisory retainer</w:t>
            </w:r>
          </w:p>
        </w:tc>
        <w:tc>
          <w:tcPr/>
          <w:p>
            <w:pPr>
              <w:pStyle w:val="Compact"/>
              <w:jc w:val="left"/>
            </w:pPr>
            <w:r>
              <w:t xml:space="preserve">25%</w:t>
            </w:r>
          </w:p>
        </w:tc>
        <w:tc>
          <w:tcPr/>
          <w:p>
            <w:pPr>
              <w:pStyle w:val="Compact"/>
              <w:jc w:val="left"/>
            </w:pPr>
            <w:r>
              <w:t xml:space="preserve">168,762.50</w:t>
            </w:r>
          </w:p>
        </w:tc>
        <w:tc>
          <w:tcPr/>
          <w:p>
            <w:pPr>
              <w:pStyle w:val="Compact"/>
              <w:jc w:val="left"/>
            </w:pPr>
            <w:r>
              <w:t xml:space="preserve">31 December 2025</w:t>
            </w:r>
          </w:p>
        </w:tc>
      </w:tr>
    </w:tbl>
    <w:p>
      <w:pPr>
        <w:pStyle w:val="BodyText"/>
      </w:pPr>
      <w:r>
        <w:t xml:space="preserve">4. Terms and Conditions</w:t>
      </w:r>
    </w:p>
    <w:p>
      <w:pPr>
        <w:pStyle w:val="BodyText"/>
      </w:pPr>
      <w:r>
        <w:rPr>
          <w:bCs/>
          <w:b/>
        </w:rPr>
        <w:t xml:space="preserve">4.1</w:t>
      </w:r>
      <w:r>
        <w:t xml:space="preserve"> </w:t>
      </w:r>
      <w:r>
        <w:t xml:space="preserve">This Purchase Order is governed by the laws of the Kingdom of Saudi Arabia and shall be interpreted in accordance with the Saudi Civil Transactions Law and applicable commercial regulations in Jeddah.</w:t>
      </w:r>
    </w:p>
    <w:p>
      <w:pPr>
        <w:pStyle w:val="BodyText"/>
      </w:pPr>
      <w:r>
        <w:rPr>
          <w:bCs/>
          <w:b/>
        </w:rPr>
        <w:t xml:space="preserve">4.2</w:t>
      </w:r>
      <w:r>
        <w:t xml:space="preserve"> </w:t>
      </w:r>
      <w:r>
        <w:t xml:space="preserve">The Mathematician warrants that all mathematical models, algorithms, and analytical outputs delivered under this Purchase Order shall be original, free from intellectual property infringement, and compliant with the data protection standards enforced by the Saudi Data and AI Authority (SDAIA).</w:t>
      </w:r>
    </w:p>
    <w:p>
      <w:pPr>
        <w:pStyle w:val="BodyText"/>
      </w:pPr>
      <w:r>
        <w:rPr>
          <w:bCs/>
          <w:b/>
        </w:rPr>
        <w:t xml:space="preserve">4.3</w:t>
      </w:r>
      <w:r>
        <w:t xml:space="preserve"> </w:t>
      </w:r>
      <w:r>
        <w:t xml:space="preserve">The Mathematician shall maintain professional confidentiality regarding all proprietary data, trade secrets, and institutional information accessed during the engagement in Saudi Arabia Jeddah. A separate Non-Disclosure Agreement (NDA) is attached as Annexure B.</w:t>
      </w:r>
    </w:p>
    <w:p>
      <w:pPr>
        <w:pStyle w:val="BodyText"/>
      </w:pPr>
      <w:r>
        <w:rPr>
          <w:bCs/>
          <w:b/>
        </w:rPr>
        <w:t xml:space="preserve">4.4</w:t>
      </w:r>
      <w:r>
        <w:t xml:space="preserve"> </w:t>
      </w:r>
      <w:r>
        <w:t xml:space="preserve">Any modifications, scope changes, or additional services beyond those specified in this Purchase Order must be documented in a written change order signed by both parties prior to execution.</w:t>
      </w:r>
    </w:p>
    <w:p>
      <w:pPr>
        <w:pStyle w:val="BodyText"/>
      </w:pPr>
      <w:r>
        <w:rPr>
          <w:bCs/>
          <w:b/>
        </w:rPr>
        <w:t xml:space="preserve">4.5</w:t>
      </w:r>
      <w:r>
        <w:t xml:space="preserve"> </w:t>
      </w:r>
      <w:r>
        <w:t xml:space="preserve">The Mathematician shall comply with all local labour regulations, professional licensing requirements, and tax obligations applicable to independent consultants operating in Jeddah, Saudi Arabia.</w:t>
      </w:r>
    </w:p>
    <w:p>
      <w:pPr>
        <w:pStyle w:val="BodyText"/>
      </w:pPr>
      <w:r>
        <w:rPr>
          <w:bCs/>
          <w:b/>
        </w:rPr>
        <w:t xml:space="preserve">4.6</w:t>
      </w:r>
      <w:r>
        <w:t xml:space="preserve"> </w:t>
      </w:r>
      <w:r>
        <w:t xml:space="preserve">Disputes arising from this Purchase Order shall be resolved through arbitration in Jeddah under the rules of the Saudi Centre for Commercial Arbitration (SCCA).</w:t>
      </w:r>
    </w:p>
    <w:p>
      <w:pPr>
        <w:pStyle w:val="BodyText"/>
      </w:pPr>
      <w:r>
        <w:rPr>
          <w:bCs/>
          <w:b/>
        </w:rPr>
        <w:t xml:space="preserve">4.7</w:t>
      </w:r>
      <w:r>
        <w:t xml:space="preserve"> </w:t>
      </w:r>
      <w:r>
        <w:t xml:space="preserve">This Purchase Order becomes effective upon signature by both parties and remains valid until the completion of all listed deliverables or the date of 31 December 2025, whichever is earlier.</w:t>
      </w:r>
    </w:p>
    <w:p>
      <w:pPr>
        <w:pStyle w:val="BodyText"/>
      </w:pPr>
      <w:r>
        <w:t xml:space="preserve">5. Acceptance and Authorisation</w:t>
      </w:r>
    </w:p>
    <w:p>
      <w:pPr>
        <w:pStyle w:val="BodyText"/>
      </w:pPr>
      <w:r>
        <w:t xml:space="preserve">By signing below, both parties acknowledge and agree to the terms, conditions, and scope of services defined in this Purchase Order for the engagement of the Mathematician in Jeddah, Saudi Arabia. This document constitutes a binding procurement instrument for the services described herein.</w:t>
      </w:r>
    </w:p>
    <w:p>
      <w:pPr>
        <w:pStyle w:val="BodyText"/>
      </w:pPr>
      <w:r>
        <w:rPr>
          <w:bCs/>
          <w:b/>
        </w:rPr>
        <w:t xml:space="preserve">For and on behalf of the Purchasing Entity:</w:t>
      </w:r>
    </w:p>
    <w:p>
      <w:pPr>
        <w:pStyle w:val="BodyText"/>
      </w:pPr>
      <w:r>
        <w:t xml:space="preserve">Al-Nakheel Advanced Research &amp; Analytics Institute</w:t>
      </w:r>
    </w:p>
    <w:p>
      <w:pPr>
        <w:pStyle w:val="BodyText"/>
      </w:pPr>
      <w:r>
        <w:rPr>
          <w:bCs/>
          <w:b/>
        </w:rPr>
        <w:t xml:space="preserve">Name:</w:t>
      </w:r>
      <w:r>
        <w:t xml:space="preserve"> </w:t>
      </w:r>
      <w:r>
        <w:t xml:space="preserve">Eng. Sarah Al-Otaibi</w:t>
      </w:r>
      <w:r>
        <w:br/>
      </w:r>
      <w:r>
        <w:rPr>
          <w:bCs/>
          <w:b/>
        </w:rPr>
        <w:t xml:space="preserve">Title:</w:t>
      </w:r>
      <w:r>
        <w:t xml:space="preserve"> </w:t>
      </w:r>
      <w:r>
        <w:t xml:space="preserve">Director of Procurement</w:t>
      </w:r>
      <w:r>
        <w:br/>
      </w:r>
      <w:r>
        <w:rPr>
          <w:bCs/>
          <w:b/>
        </w:rPr>
        <w:t xml:space="preserve">Date:</w:t>
      </w:r>
      <w:r>
        <w:t xml:space="preserve"> </w:t>
      </w:r>
      <w:r>
        <w:t xml:space="preserve">_______________</w:t>
      </w:r>
    </w:p>
    <w:p>
      <w:pPr>
        <w:pStyle w:val="BodyText"/>
      </w:pPr>
      <w:r>
        <w:rPr>
          <w:bCs/>
          <w:b/>
        </w:rPr>
        <w:t xml:space="preserve">For and on behalf of the Service Provider:</w:t>
      </w:r>
    </w:p>
    <w:p>
      <w:pPr>
        <w:pStyle w:val="BodyText"/>
      </w:pPr>
      <w:r>
        <w:t xml:space="preserve">Dr. Khalid Al-Rashidi, Mathematician</w:t>
      </w:r>
    </w:p>
    <w:p>
      <w:pPr>
        <w:pStyle w:val="BodyText"/>
      </w:pPr>
      <w:r>
        <w:rPr>
          <w:bCs/>
          <w:b/>
        </w:rPr>
        <w:t xml:space="preserve">Name:</w:t>
      </w:r>
      <w:r>
        <w:t xml:space="preserve"> </w:t>
      </w:r>
      <w:r>
        <w:t xml:space="preserve">Dr. Khalid Al-Rashidi</w:t>
      </w:r>
      <w:r>
        <w:br/>
      </w:r>
      <w:r>
        <w:rPr>
          <w:bCs/>
          <w:b/>
        </w:rPr>
        <w:t xml:space="preserve">Title:</w:t>
      </w:r>
      <w:r>
        <w:t xml:space="preserve"> </w:t>
      </w:r>
      <w:r>
        <w:t xml:space="preserve">Senior Mathematician / Consultant</w:t>
      </w:r>
      <w:r>
        <w:br/>
      </w:r>
      <w:r>
        <w:rPr>
          <w:bCs/>
          <w:b/>
        </w:rPr>
        <w:t xml:space="preserve">Date:</w:t>
      </w:r>
      <w:r>
        <w:t xml:space="preserve"> </w:t>
      </w:r>
      <w:r>
        <w:t xml:space="preserve">_______________</w:t>
      </w:r>
    </w:p>
    <w:p>
      <w:pPr>
        <w:pStyle w:val="BodyText"/>
      </w:pPr>
      <w:r>
        <w:t xml:space="preserve">PO-JED-2025-04871</w:t>
      </w:r>
      <w:r>
        <w:t xml:space="preserve"> </w:t>
      </w:r>
      <w:r>
        <w:t xml:space="preserve"> | </w:t>
      </w:r>
      <w:r>
        <w:t xml:space="preserve"> </w:t>
      </w:r>
      <w:r>
        <w:t xml:space="preserve">This Purchase Order was issued in Jeddah, Saudi Arabia  | </w:t>
      </w:r>
      <w:r>
        <w:t xml:space="preserve"> </w:t>
      </w:r>
      <w:r>
        <w:t xml:space="preserve">Page 1 of 1  | </w:t>
      </w:r>
      <w:r>
        <w:t xml:space="preserve"> </w:t>
      </w: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Saudi Arabia Jeddah</dc:title>
  <dc:creator/>
  <dc:language>en</dc:language>
  <cp:keywords/>
  <dcterms:created xsi:type="dcterms:W3CDTF">2026-10-10T02:57:15Z</dcterms:created>
  <dcterms:modified xsi:type="dcterms:W3CDTF">2026-10-10T02:57:15Z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