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Mathematician Professional Services — United Arab Emirates, Abu Dhabi</w:t>
      </w:r>
    </w:p>
    <w:p>
      <w:pPr>
        <w:pStyle w:val="BodyText"/>
      </w:pPr>
      <w:r>
        <w:t xml:space="preserve">Document Reference: PO-ADH-2025-04782</w:t>
      </w:r>
    </w:p>
    <w:bookmarkEnd w:id="20"/>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t xml:space="preserve"> </w:t>
      </w:r>
      <w:r>
        <w:t xml:space="preserve">Abu Dhabi Department of Economic Development</w:t>
      </w:r>
      <w:r>
        <w:br/>
      </w:r>
      <w:r>
        <w:rPr>
          <w:bCs/>
          <w:b/>
        </w:rPr>
        <w:t xml:space="preserve">Location:</w:t>
      </w:r>
      <w:r>
        <w:t xml:space="preserve"> </w:t>
      </w:r>
      <w:r>
        <w:t xml:space="preserve">United Arab Emirates, Abu Dhabi</w:t>
      </w:r>
      <w:r>
        <w:br/>
      </w:r>
      <w:r>
        <w:rPr>
          <w:bCs/>
          <w:b/>
        </w:rPr>
        <w:t xml:space="preserve">Trade License No.:</w:t>
      </w:r>
      <w:r>
        <w:t xml:space="preserve"> </w:t>
      </w:r>
      <w:r>
        <w:t xml:space="preserve">AD-EDD-2025-11847</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Entity Name</w:t>
            </w:r>
          </w:p>
        </w:tc>
        <w:tc>
          <w:tcPr/>
          <w:p>
            <w:pPr>
              <w:pStyle w:val="Compact"/>
              <w:jc w:val="left"/>
            </w:pPr>
            <w:r>
              <w:t xml:space="preserve">Abu Dhabi Advanced Research &amp; Analytics Institute (ADARAI)</w:t>
            </w:r>
          </w:p>
        </w:tc>
        <w:tc>
          <w:tcPr/>
          <w:p>
            <w:pPr>
              <w:pStyle w:val="Compact"/>
              <w:jc w:val="left"/>
            </w:pPr>
            <w:r>
              <w:t xml:space="preserve">Dr. Khalid Al Mansoori — Independent Mathematician &amp; Quantitative Analyst</w:t>
            </w:r>
          </w:p>
        </w:tc>
      </w:tr>
      <w:tr>
        <w:tc>
          <w:tcPr/>
          <w:p>
            <w:pPr>
              <w:pStyle w:val="Compact"/>
              <w:jc w:val="left"/>
            </w:pPr>
            <w:r>
              <w:rPr>
                <w:bCs/>
                <w:b/>
              </w:rPr>
              <w:t xml:space="preserve">Address</w:t>
            </w:r>
          </w:p>
        </w:tc>
        <w:tc>
          <w:tcPr/>
          <w:p>
            <w:pPr>
              <w:pStyle w:val="Compact"/>
              <w:jc w:val="left"/>
            </w:pPr>
            <w:r>
              <w:t xml:space="preserve">Al Maryah Island, Tower 7, Floor 12, Abu Dhabi, United Arab Emirates</w:t>
            </w:r>
          </w:p>
        </w:tc>
        <w:tc>
          <w:tcPr/>
          <w:p>
            <w:pPr>
              <w:pStyle w:val="Compact"/>
              <w:jc w:val="left"/>
            </w:pPr>
            <w:r>
              <w:t xml:space="preserve">Al Reem Island, Office 402, Business Bay, Abu Dhabi, United Arab Emirates</w:t>
            </w:r>
          </w:p>
        </w:tc>
      </w:tr>
      <w:tr>
        <w:tc>
          <w:tcPr/>
          <w:p>
            <w:pPr>
              <w:pStyle w:val="Compact"/>
              <w:jc w:val="left"/>
            </w:pPr>
            <w:r>
              <w:rPr>
                <w:bCs/>
                <w:b/>
              </w:rPr>
              <w:t xml:space="preserve">Contact</w:t>
            </w:r>
          </w:p>
        </w:tc>
        <w:tc>
          <w:tcPr/>
          <w:p>
            <w:pPr>
              <w:pStyle w:val="Compact"/>
              <w:jc w:val="left"/>
            </w:pPr>
            <w:r>
              <w:t xml:space="preserve">procurement@adarai.ae | +971-2-555-0142</w:t>
            </w:r>
          </w:p>
        </w:tc>
        <w:tc>
          <w:tcPr/>
          <w:p>
            <w:pPr>
              <w:pStyle w:val="Compact"/>
              <w:jc w:val="left"/>
            </w:pPr>
            <w:r>
              <w:t xml:space="preserve">k.mansoori@mathconsult.ae | +971-50-773-2210</w:t>
            </w:r>
          </w:p>
        </w:tc>
      </w:tr>
      <w:tr>
        <w:tc>
          <w:tcPr/>
          <w:p>
            <w:pPr>
              <w:pStyle w:val="Compact"/>
              <w:jc w:val="left"/>
            </w:pPr>
            <w:r>
              <w:rPr>
                <w:bCs/>
                <w:b/>
              </w:rPr>
              <w:t xml:space="preserve">Tax / VAT No.</w:t>
            </w:r>
          </w:p>
        </w:tc>
        <w:tc>
          <w:tcPr/>
          <w:p>
            <w:pPr>
              <w:pStyle w:val="Compact"/>
              <w:jc w:val="left"/>
            </w:pPr>
            <w:r>
              <w:t xml:space="preserve">100456789012000</w:t>
            </w:r>
          </w:p>
        </w:tc>
        <w:tc>
          <w:tcPr/>
          <w:p>
            <w:pPr>
              <w:pStyle w:val="Compact"/>
              <w:jc w:val="left"/>
            </w:pPr>
            <w:r>
              <w:t xml:space="preserve">100987654321000</w:t>
            </w:r>
          </w:p>
        </w:tc>
      </w:tr>
      <w:tr>
        <w:tc>
          <w:tcPr/>
          <w:p>
            <w:pPr>
              <w:pStyle w:val="Compact"/>
              <w:jc w:val="left"/>
            </w:pPr>
            <w:r>
              <w:rPr>
                <w:bCs/>
                <w:b/>
              </w:rPr>
              <w:t xml:space="preserve">Bank Details</w:t>
            </w:r>
          </w:p>
        </w:tc>
        <w:tc>
          <w:tcPr/>
          <w:p>
            <w:pPr>
              <w:pStyle w:val="Compact"/>
              <w:jc w:val="left"/>
            </w:pPr>
            <w:r>
              <w:t xml:space="preserve">Emirates NBD, A/C: 002-4567-8901, IBAN: AE07024000000000000000001</w:t>
            </w:r>
          </w:p>
        </w:tc>
        <w:tc>
          <w:tcPr/>
          <w:p>
            <w:pPr>
              <w:pStyle w:val="Compact"/>
              <w:jc w:val="left"/>
            </w:pPr>
            <w:r>
              <w:t xml:space="preserve">First Abu Dhabi Bank, A/C: 001-2345-6789, IBAN: AE33002100000000000000002</w:t>
            </w:r>
          </w:p>
        </w:tc>
      </w:tr>
    </w:tbl>
    <w:p>
      <w:pPr>
        <w:pStyle w:val="BodyText"/>
      </w:pPr>
      <w:r>
        <w:t xml:space="preserve">2. Description of Services — Mathematician Engagement</w:t>
      </w:r>
    </w:p>
    <w:p>
      <w:pPr>
        <w:pStyle w:val="BodyText"/>
      </w:pPr>
      <w:r>
        <w:t xml:space="preserve">This Purchase Order is issued by the Abu Dhabi Advanced Research &amp; Analytics Institute (ADARAI) to formally engage the services of a qualified</w:t>
      </w:r>
      <w:r>
        <w:t xml:space="preserve"> </w:t>
      </w:r>
      <w:r>
        <w:rPr>
          <w:bCs/>
          <w:b/>
        </w:rPr>
        <w:t xml:space="preserve">Mathematician</w:t>
      </w:r>
      <w:r>
        <w:t xml:space="preserve"> </w:t>
      </w:r>
      <w:r>
        <w:t xml:space="preserve">for the provision of advanced quantitative analysis, mathematical modelling, and applied research support. The Mathematician shall deliver the following scope of work within the jurisdiction of the United Arab Emirates, Abu Dhabi, in accordance with the specifications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Mathematician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Development of stochastic differential equation models for the Abu Dhabi financial derivatives market, including calibration and back-testing against historical data from the Abu Dhabi Global Market (ADGM) exchange.</w:t>
            </w:r>
          </w:p>
        </w:tc>
        <w:tc>
          <w:tcPr/>
          <w:p>
            <w:pPr>
              <w:pStyle w:val="Compact"/>
              <w:jc w:val="left"/>
            </w:pPr>
            <w:r>
              <w:t xml:space="preserve">8 weeks</w:t>
            </w:r>
          </w:p>
        </w:tc>
        <w:tc>
          <w:tcPr/>
          <w:p>
            <w:pPr>
              <w:pStyle w:val="Compact"/>
              <w:jc w:val="left"/>
            </w:pPr>
            <w:r>
              <w:t xml:space="preserve">12,500 / week</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Design and implementation of topological data analysis (TDA) frameworks for the Abu Dhabi smart-city sensor network, enabling pattern recognition across 2,400+ IoT nodes deployed across the emirate.</w:t>
            </w:r>
          </w:p>
        </w:tc>
        <w:tc>
          <w:tcPr/>
          <w:p>
            <w:pPr>
              <w:pStyle w:val="Compact"/>
              <w:jc w:val="left"/>
            </w:pPr>
            <w:r>
              <w:t xml:space="preserve">12 weeks</w:t>
            </w:r>
          </w:p>
        </w:tc>
        <w:tc>
          <w:tcPr/>
          <w:p>
            <w:pPr>
              <w:pStyle w:val="Compact"/>
              <w:jc w:val="left"/>
            </w:pPr>
            <w:r>
              <w:t xml:space="preserve">14,000 / week</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Mathematical proof verification and peer review of three (3) published research papers submitted to the Abu Dhabi International Journal of Applied Mathematics, ensuring compliance with the United Arab Emirates National Research Council standards.</w:t>
            </w:r>
          </w:p>
        </w:tc>
        <w:tc>
          <w:tcPr/>
          <w:p>
            <w:pPr>
              <w:pStyle w:val="Compact"/>
              <w:jc w:val="left"/>
            </w:pPr>
            <w:r>
              <w:t xml:space="preserve">4 weeks</w:t>
            </w:r>
          </w:p>
        </w:tc>
        <w:tc>
          <w:tcPr/>
          <w:p>
            <w:pPr>
              <w:pStyle w:val="Compact"/>
              <w:jc w:val="left"/>
            </w:pPr>
            <w:r>
              <w:t xml:space="preserve">9,500 / week</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On-site consultation and workshop delivery (two (2) full-day sessions) at the ADARAI headquarters on Al Maryah Island, Abu Dhabi, covering advanced optimization theory for the emirate's energy-sector planning division.</w:t>
            </w:r>
          </w:p>
        </w:tc>
        <w:tc>
          <w:tcPr/>
          <w:p>
            <w:pPr>
              <w:pStyle w:val="Compact"/>
              <w:jc w:val="left"/>
            </w:pPr>
            <w:r>
              <w:t xml:space="preserve">2 days</w:t>
            </w:r>
          </w:p>
        </w:tc>
        <w:tc>
          <w:tcPr/>
          <w:p>
            <w:pPr>
              <w:pStyle w:val="Compact"/>
              <w:jc w:val="left"/>
            </w:pPr>
            <w:r>
              <w:t xml:space="preserve">8,000 / day</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Preparation of a comprehensive mathematical feasibility report for the proposed Abu Dhabi desalination pipeline network, incorporating fluid dynamics partial differential equations and cost-minimization algorithms.</w:t>
            </w:r>
          </w:p>
        </w:tc>
        <w:tc>
          <w:tcPr/>
          <w:p>
            <w:pPr>
              <w:pStyle w:val="Compact"/>
              <w:jc w:val="left"/>
            </w:pPr>
            <w:r>
              <w:t xml:space="preserve">6 weeks</w:t>
            </w:r>
          </w:p>
        </w:tc>
        <w:tc>
          <w:tcPr/>
          <w:p>
            <w:pPr>
              <w:pStyle w:val="Compact"/>
              <w:jc w:val="left"/>
            </w:pPr>
            <w:r>
              <w:t xml:space="preserve">11,000 / week</w:t>
            </w:r>
          </w:p>
        </w:tc>
        <w:tc>
          <w:tcPr/>
          <w:p>
            <w:pPr>
              <w:pStyle w:val="Compact"/>
              <w:jc w:val="left"/>
            </w:pPr>
            <w:r>
              <w:t xml:space="preserve">66,000.00</w:t>
            </w:r>
          </w:p>
        </w:tc>
      </w:tr>
      <w:tr>
        <w:tc>
          <w:tcPr>
            <w:gridSpan w:val="4"/>
          </w:tcPr>
          <w:p>
            <w:pPr>
              <w:pStyle w:val="Compact"/>
              <w:jc w:val="right"/>
            </w:pPr>
            <w:r>
              <w:t xml:space="preserve">Subtotal (AED)</w:t>
            </w:r>
          </w:p>
        </w:tc>
        <w:tc>
          <w:tcPr/>
          <w:p>
            <w:pPr>
              <w:pStyle w:val="Compact"/>
              <w:jc w:val="left"/>
            </w:pPr>
            <w:r>
              <w:t xml:space="preserve">388,000.00</w:t>
            </w:r>
          </w:p>
        </w:tc>
      </w:tr>
      <w:tr>
        <w:tc>
          <w:tcPr>
            <w:gridSpan w:val="4"/>
          </w:tcPr>
          <w:p>
            <w:pPr>
              <w:pStyle w:val="Compact"/>
              <w:jc w:val="right"/>
            </w:pPr>
            <w:r>
              <w:t xml:space="preserve">VAT @ 5% (United Arab Emirates)</w:t>
            </w:r>
          </w:p>
        </w:tc>
        <w:tc>
          <w:tcPr/>
          <w:p>
            <w:pPr>
              <w:pStyle w:val="Compact"/>
              <w:jc w:val="left"/>
            </w:pPr>
            <w:r>
              <w:t xml:space="preserve">19,400.00</w:t>
            </w:r>
          </w:p>
        </w:tc>
      </w:tr>
      <w:tr>
        <w:tc>
          <w:tcPr>
            <w:gridSpan w:val="4"/>
          </w:tcPr>
          <w:p>
            <w:pPr>
              <w:pStyle w:val="Compact"/>
              <w:jc w:val="right"/>
            </w:pPr>
            <w:r>
              <w:t xml:space="preserve">TOTAL AMOUNT DUE (AED)</w:t>
            </w:r>
          </w:p>
        </w:tc>
        <w:tc>
          <w:tcPr/>
          <w:p>
            <w:pPr>
              <w:pStyle w:val="Compact"/>
              <w:jc w:val="left"/>
            </w:pPr>
            <w:r>
              <w:t xml:space="preserve">407,400.00</w:t>
            </w:r>
          </w:p>
        </w:tc>
      </w:tr>
    </w:tbl>
    <w:p>
      <w:pPr>
        <w:pStyle w:val="BodyText"/>
      </w:pPr>
      <w:r>
        <w:t xml:space="preserve">3.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Commercial Transactions Law and the Abu Dhabi Civil Code. Any disputes arising from this Purchase Order shall be resolved through the Abu Dhabi Centre for Amicable Settlement of Disputes (ADCS) before resorting to litigation in the Abu Dhabi Courts of First Instance.</w:t>
      </w:r>
    </w:p>
    <w:p>
      <w:pPr>
        <w:numPr>
          <w:ilvl w:val="0"/>
          <w:numId w:val="1001"/>
        </w:numPr>
        <w:pStyle w:val="Compact"/>
      </w:pPr>
      <w:r>
        <w:rPr>
          <w:bCs/>
          <w:b/>
        </w:rPr>
        <w:t xml:space="preserve">Payment Terms:</w:t>
      </w:r>
      <w:r>
        <w:t xml:space="preserve"> </w:t>
      </w:r>
      <w:r>
        <w:t xml:space="preserve">Payment for services rendered under this Purchase Order shall be made in United Arab Emirates Dirhams (AED) via bank transfer to the Mathematician's designated account at First Abu Dhabi Bank. Invoices shall be submitted bi-weekly, and payment shall be processed within fourteen (14) calendar days of invoice receipt. Late payments shall accrue interest at the rate of 2% per month as stipulated under UAE commercial practice.</w:t>
      </w:r>
    </w:p>
    <w:p>
      <w:pPr>
        <w:numPr>
          <w:ilvl w:val="0"/>
          <w:numId w:val="1001"/>
        </w:numPr>
        <w:pStyle w:val="Compact"/>
      </w:pPr>
      <w:r>
        <w:rPr>
          <w:bCs/>
          <w:b/>
        </w:rPr>
        <w:t xml:space="preserve">Intellectual Property:</w:t>
      </w:r>
      <w:r>
        <w:t xml:space="preserve"> </w:t>
      </w:r>
      <w:r>
        <w:t xml:space="preserve">All mathematical models, proofs, algorithms, and analytical frameworks developed by the Mathematician specifically for ADARAI under this Purchase Order shall become the exclusive property of the Abu Dhabi Advanced Research &amp; Analytics Institute upon full payment. The Mathematician retains the right to publish generalized theoretical findings, provided that no proprietary data from the United Arab Emirates, Abu Dhabi, is disclosed without written consent.</w:t>
      </w:r>
    </w:p>
    <w:p>
      <w:pPr>
        <w:numPr>
          <w:ilvl w:val="0"/>
          <w:numId w:val="1001"/>
        </w:numPr>
        <w:pStyle w:val="Compact"/>
      </w:pPr>
      <w:r>
        <w:rPr>
          <w:bCs/>
          <w:b/>
        </w:rPr>
        <w:t xml:space="preserve">Confidentiality:</w:t>
      </w:r>
      <w:r>
        <w:t xml:space="preserve"> </w:t>
      </w:r>
      <w:r>
        <w:t xml:space="preserve">The Mathematician agrees to maintain strict confidentiality regarding all data, algorithms, and strategic information accessed during the engagement. This obligation shall survive the termination of this Purchase Order for a period of five (5) years, in compliance with the UAE Federal Decree-Law No. 46 of 2021 on the Protection of Personal Data.</w:t>
      </w:r>
    </w:p>
    <w:p>
      <w:pPr>
        <w:numPr>
          <w:ilvl w:val="0"/>
          <w:numId w:val="1001"/>
        </w:numPr>
        <w:pStyle w:val="Compact"/>
      </w:pPr>
      <w:r>
        <w:rPr>
          <w:bCs/>
          <w:b/>
        </w:rPr>
        <w:t xml:space="preserve">Work Location and Compliance:</w:t>
      </w:r>
      <w:r>
        <w:t xml:space="preserve"> </w:t>
      </w:r>
      <w:r>
        <w:t xml:space="preserve">All on-site work shall be conducted at the ADARAI premises on Al Maryah Island, Abu Dhabi, United Arab Emirates. The Mathematician must hold a valid UAE residence visa and professional work permit. All deliverables must comply with the Abu Dhabi Information and Communication Technology Office (ADICTO) data-handling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effective date of termination, and all work-in-progress deliverables shall be handed over to ADARAI.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declared by the United Arab Emirates Federal Government.</w:t>
      </w:r>
    </w:p>
    <w:p>
      <w:pPr>
        <w:numPr>
          <w:ilvl w:val="0"/>
          <w:numId w:val="1001"/>
        </w:numPr>
        <w:pStyle w:val="Compact"/>
      </w:pPr>
      <w:r>
        <w:rPr>
          <w:bCs/>
          <w:b/>
        </w:rPr>
        <w:t xml:space="preserve">Acceptance of Deliverables:</w:t>
      </w:r>
      <w:r>
        <w:t xml:space="preserve"> </w:t>
      </w:r>
      <w:r>
        <w:t xml:space="preserve">All mathematical deliverables shall be subject to a ten (10) business-day review period by the ADARAI Chief Scientific Officer. Failure to raise written objections within this period shall constitute acceptance of the deliverables under this Purchase Order.</w:t>
      </w:r>
    </w:p>
    <w:p>
      <w:pPr>
        <w:pStyle w:val="FirstParagraph"/>
      </w:pPr>
      <w:r>
        <w:t xml:space="preserve">4. Authorization and Acceptance</w:t>
      </w:r>
    </w:p>
    <w:p>
      <w:pPr>
        <w:pStyle w:val="BodyText"/>
      </w:pPr>
      <w:r>
        <w:t xml:space="preserve">By signing below, both parties acknowledge and agree to all terms, conditions, and specifications set forth in this Purchase Order. This document constitutes a binding agreement for the engagement of the Mathematician's professional services within the United Arab Emirates, Abu Dhabi, effective from the date of the last signature.</w:t>
      </w:r>
    </w:p>
    <w:p>
      <w:pPr>
        <w:pStyle w:val="BodyText"/>
      </w:pPr>
      <w:r>
        <w:rPr>
          <w:bCs/>
          <w:b/>
        </w:rPr>
        <w:t xml:space="preserve">For the Buyer (ADARAI)</w:t>
      </w:r>
      <w:r>
        <w:br/>
      </w:r>
      <w:r>
        <w:t xml:space="preserve">Name: Eng. Fatima Al Suwaidi</w:t>
      </w:r>
      <w:r>
        <w:br/>
      </w:r>
      <w:r>
        <w:t xml:space="preserve">Title: Director of Procurement</w:t>
      </w:r>
      <w:r>
        <w:br/>
      </w:r>
      <w:r>
        <w:t xml:space="preserve">Date: _______________</w:t>
      </w:r>
    </w:p>
    <w:p>
      <w:pPr>
        <w:pStyle w:val="BodyText"/>
      </w:pPr>
      <w:r>
        <w:rPr>
          <w:bCs/>
          <w:b/>
        </w:rPr>
        <w:t xml:space="preserve">For the Supplier (Mathematician)</w:t>
      </w:r>
      <w:r>
        <w:br/>
      </w:r>
      <w:r>
        <w:t xml:space="preserve">Name: Dr. Khalid Al Mansoori</w:t>
      </w:r>
      <w:r>
        <w:br/>
      </w:r>
      <w:r>
        <w:t xml:space="preserve">Title: Independent Mathematician</w:t>
      </w:r>
      <w:r>
        <w:br/>
      </w:r>
      <w:r>
        <w:t xml:space="preserve">Date: _______________</w:t>
      </w:r>
    </w:p>
    <w:p>
      <w:pPr>
        <w:pStyle w:val="BodyText"/>
      </w:pPr>
      <w:r>
        <w:t xml:space="preserve">This Purchase Order (PO-ADH-2025-04782) was issued by the Abu Dhabi Advanced Research &amp; Analytics Institute, United Arab Emirates, Abu Dhabi. This document is valid only when bearing the official ADARAI procurement seal and the authorized signatures of both parties. Unauthorized reproduction or distribution of this Purchase Order is prohibited under UAE Federal Law. © 2025 ADARAI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Abu Dhabi, United Arab Emirates</dc:title>
  <dc:creator/>
  <dc:language>en</dc:language>
  <cp:keywords/>
  <dcterms:created xsi:type="dcterms:W3CDTF">2026-10-10T03:48:17Z</dcterms:created>
  <dcterms:modified xsi:type="dcterms:W3CDTF">2026-10-10T03:48:17Z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