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rPr>
          <w:bCs/>
          <w:b/>
        </w:rPr>
        <w:t xml:space="preserve">Buyer:</w:t>
      </w:r>
      <w:r>
        <w:t xml:space="preserve"> </w:t>
      </w:r>
      <w:r>
        <w:t xml:space="preserve">Northern Automotive Services LLC</w:t>
      </w:r>
    </w:p>
    <w:p>
      <w:pPr>
        <w:pStyle w:val="BodyText"/>
      </w:pPr>
      <w:r>
        <w:rPr>
          <w:bCs/>
          <w:b/>
        </w:rPr>
        <w:t xml:space="preserve">Address:</w:t>
      </w:r>
      <w:r>
        <w:t xml:space="preserve"> </w:t>
      </w:r>
      <w:r>
        <w:t xml:space="preserve">142 Liteyny Avenue, Russia Saint Petersburg, 191025, Russian Federation</w:t>
      </w:r>
    </w:p>
    <w:p>
      <w:pPr>
        <w:pStyle w:val="BodyText"/>
      </w:pPr>
      <w:r>
        <w:rPr>
          <w:bCs/>
          <w:b/>
        </w:rPr>
        <w:t xml:space="preserve">Phone:</w:t>
      </w:r>
      <w:r>
        <w:t xml:space="preserve"> </w:t>
      </w:r>
      <w:r>
        <w:t xml:space="preserve">+7 (812) 555-0147  | </w:t>
      </w:r>
      <w:r>
        <w:t xml:space="preserve"> </w:t>
      </w:r>
      <w:r>
        <w:rPr>
          <w:bCs/>
          <w:b/>
        </w:rPr>
        <w:t xml:space="preserve">Email:</w:t>
      </w:r>
      <w:r>
        <w:t xml:space="preserve"> </w:t>
      </w:r>
      <w:r>
        <w:t xml:space="preserve">procurement@northern-auto.ru</w:t>
      </w:r>
    </w:p>
    <w:p>
      <w:pPr>
        <w:pStyle w:val="BodyText"/>
      </w:pPr>
      <w:r>
        <w:rPr>
          <w:bCs/>
          <w:b/>
        </w:rPr>
        <w:t xml:space="preserve">Tax ID (INN):</w:t>
      </w:r>
      <w:r>
        <w:t xml:space="preserve"> </w:t>
      </w:r>
      <w:r>
        <w:t xml:space="preserve">7811234567  | </w:t>
      </w:r>
      <w:r>
        <w:t xml:space="preserve"> </w:t>
      </w:r>
      <w:r>
        <w:rPr>
          <w:bCs/>
          <w:b/>
        </w:rPr>
        <w:t xml:space="preserve">KPP:</w:t>
      </w:r>
      <w:r>
        <w:t xml:space="preserve"> </w:t>
      </w:r>
      <w:r>
        <w:t xml:space="preserve">781101001</w:t>
      </w:r>
    </w:p>
    <w:bookmarkEnd w:id="20"/>
    <w:p>
      <w:pPr>
        <w:pStyle w:val="BodyText"/>
      </w:pPr>
      <w:r>
        <w:rPr>
          <w:bCs/>
          <w:b/>
        </w:rPr>
        <w:t xml:space="preserve">Purchase Order No.:</w:t>
      </w:r>
      <w:r>
        <w:t xml:space="preserve"> </w:t>
      </w:r>
      <w:r>
        <w:t xml:space="preserve">PO-RSP-2025-04872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Russian Ruble (RUB)</w:t>
      </w:r>
    </w:p>
    <w:bookmarkStart w:id="21" w:name="vendor-supplier-information"/>
    <w:p>
      <w:pPr>
        <w:pStyle w:val="Heading2"/>
      </w:pPr>
      <w:r>
        <w:t xml:space="preserve">1. Vendor / Supplier Information</w:t>
      </w:r>
    </w:p>
    <w:p>
      <w:pPr>
        <w:pStyle w:val="FirstParagraph"/>
      </w:pPr>
      <w:r>
        <w:rPr>
          <w:bCs/>
          <w:b/>
        </w:rPr>
        <w:t xml:space="preserve">Supplier Name:</w:t>
      </w:r>
      <w:r>
        <w:t xml:space="preserve"> </w:t>
      </w:r>
      <w:r>
        <w:t xml:space="preserve">Petrograd Mechanical Engineering &amp; Automotive Solutions JSC</w:t>
      </w:r>
    </w:p>
    <w:p>
      <w:pPr>
        <w:pStyle w:val="BodyText"/>
      </w:pPr>
      <w:r>
        <w:rPr>
          <w:bCs/>
          <w:b/>
        </w:rPr>
        <w:t xml:space="preserve">Address:</w:t>
      </w:r>
      <w:r>
        <w:t xml:space="preserve"> </w:t>
      </w:r>
      <w:r>
        <w:t xml:space="preserve">8 Kuznechny Lane, Russia Saint Petersburg, 190000, Russian Federation</w:t>
      </w:r>
    </w:p>
    <w:p>
      <w:pPr>
        <w:pStyle w:val="BodyText"/>
      </w:pPr>
      <w:r>
        <w:rPr>
          <w:bCs/>
          <w:b/>
        </w:rPr>
        <w:t xml:space="preserve">Contact Person:</w:t>
      </w:r>
      <w:r>
        <w:t xml:space="preserve"> </w:t>
      </w:r>
      <w:r>
        <w:t xml:space="preserve">Dmitry A. Volkov, Chief Operations Officer</w:t>
      </w:r>
    </w:p>
    <w:p>
      <w:pPr>
        <w:pStyle w:val="BodyText"/>
      </w:pPr>
      <w:r>
        <w:rPr>
          <w:bCs/>
          <w:b/>
        </w:rPr>
        <w:t xml:space="preserve">Phone:</w:t>
      </w:r>
      <w:r>
        <w:t xml:space="preserve"> </w:t>
      </w:r>
      <w:r>
        <w:t xml:space="preserve">+7 (812) 333-8821  | </w:t>
      </w:r>
      <w:r>
        <w:t xml:space="preserve"> </w:t>
      </w:r>
      <w:r>
        <w:rPr>
          <w:bCs/>
          <w:b/>
        </w:rPr>
        <w:t xml:space="preserve">Email:</w:t>
      </w:r>
      <w:r>
        <w:t xml:space="preserve"> </w:t>
      </w:r>
      <w:r>
        <w:t xml:space="preserve">sales@petrograd-mech.ru</w:t>
      </w:r>
    </w:p>
    <w:p>
      <w:pPr>
        <w:pStyle w:val="BodyText"/>
      </w:pPr>
      <w:r>
        <w:rPr>
          <w:bCs/>
          <w:b/>
        </w:rPr>
        <w:t xml:space="preserve">Tax ID (INN):</w:t>
      </w:r>
      <w:r>
        <w:t xml:space="preserve"> </w:t>
      </w:r>
      <w:r>
        <w:t xml:space="preserve">7806987654  | </w:t>
      </w:r>
      <w:r>
        <w:t xml:space="preserve"> </w:t>
      </w:r>
      <w:r>
        <w:rPr>
          <w:bCs/>
          <w:b/>
        </w:rPr>
        <w:t xml:space="preserve">KPP:</w:t>
      </w:r>
      <w:r>
        <w:t xml:space="preserve"> </w:t>
      </w:r>
      <w:r>
        <w:t xml:space="preserve">780601001</w:t>
      </w:r>
    </w:p>
    <w:p>
      <w:pPr>
        <w:pStyle w:val="BodyText"/>
      </w:pPr>
      <w:r>
        <w:rPr>
          <w:bCs/>
          <w:b/>
        </w:rPr>
        <w:t xml:space="preserve">Bank Details:</w:t>
      </w:r>
      <w:r>
        <w:t xml:space="preserve"> </w:t>
      </w:r>
      <w:r>
        <w:t xml:space="preserve">Sberbank, Branch Saint Petersburg | Account: 40702810900000123456 | BIC: SABRRU33</w:t>
      </w:r>
    </w:p>
    <w:bookmarkEnd w:id="21"/>
    <w:bookmarkStart w:id="22" w:name="X936cc3880350be6e2ce3e17345d6b972eb9299a"/>
    <w:p>
      <w:pPr>
        <w:pStyle w:val="Heading2"/>
      </w:pPr>
      <w:r>
        <w:t xml:space="preserve">2. Scope of Purchase Order – Mechanic Services and Equipment</w:t>
      </w:r>
    </w:p>
    <w:p>
      <w:pPr>
        <w:pStyle w:val="FirstParagraph"/>
      </w:pPr>
      <w:r>
        <w:t xml:space="preserve">This Purchase Order is issued by Northern Automotive Services LLC for the procurement of professional</w:t>
      </w:r>
      <w:r>
        <w:t xml:space="preserve"> </w:t>
      </w:r>
      <w:r>
        <w:t xml:space="preserve">Mechanic</w:t>
      </w:r>
      <w:r>
        <w:t xml:space="preserve"> </w:t>
      </w:r>
      <w:r>
        <w:t xml:space="preserve">services, specialized automotive diagnostic equipment, and replacement parts to be delivered and installed at our primary service facility located in</w:t>
      </w:r>
      <w:r>
        <w:t xml:space="preserve"> </w:t>
      </w:r>
      <w:r>
        <w:t xml:space="preserve">Russia Saint Petersburg</w:t>
      </w:r>
      <w:r>
        <w:t xml:space="preserve">. The scope encompasses the engagement of certified automotive mechanics, the supply of OEM-grade components, and the provision of workshop tooling necessary to maintain and repair a fleet of 45 commercial vehicles operated within the Saint Petersburg metropolitan area.</w:t>
      </w:r>
    </w:p>
    <w:bookmarkEnd w:id="22"/>
    <w:bookmarkStart w:id="23" w:name="line-items"/>
    <w:p>
      <w:pPr>
        <w:pStyle w:val="Heading2"/>
      </w:pPr>
      <w:r>
        <w:t xml:space="preserve">3.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Certified Senior Mechanic – Engine Diagnostics &amp; Overhaul (80-hour contract per month, June–August 2025)</w:t>
            </w:r>
          </w:p>
        </w:tc>
        <w:tc>
          <w:tcPr/>
          <w:p>
            <w:pPr>
              <w:pStyle w:val="Compact"/>
              <w:jc w:val="left"/>
            </w:pPr>
            <w:r>
              <w:t xml:space="preserve">3</w:t>
            </w:r>
          </w:p>
        </w:tc>
        <w:tc>
          <w:tcPr/>
          <w:p>
            <w:pPr>
              <w:pStyle w:val="Compact"/>
              <w:jc w:val="left"/>
            </w:pPr>
            <w:r>
              <w:t xml:space="preserve">Contract</w:t>
            </w:r>
          </w:p>
        </w:tc>
        <w:tc>
          <w:tcPr/>
          <w:p>
            <w:pPr>
              <w:pStyle w:val="Compact"/>
              <w:jc w:val="left"/>
            </w:pPr>
            <w:r>
              <w:t xml:space="preserve">185,000.00</w:t>
            </w:r>
          </w:p>
        </w:tc>
        <w:tc>
          <w:tcPr/>
          <w:p>
            <w:pPr>
              <w:pStyle w:val="Compact"/>
              <w:jc w:val="left"/>
            </w:pPr>
            <w:r>
              <w:t xml:space="preserve">555,000.00</w:t>
            </w:r>
          </w:p>
        </w:tc>
      </w:tr>
      <w:tr>
        <w:tc>
          <w:tcPr/>
          <w:p>
            <w:pPr>
              <w:pStyle w:val="Compact"/>
              <w:jc w:val="left"/>
            </w:pPr>
            <w:r>
              <w:t xml:space="preserve">02</w:t>
            </w:r>
          </w:p>
        </w:tc>
        <w:tc>
          <w:tcPr/>
          <w:p>
            <w:pPr>
              <w:pStyle w:val="Compact"/>
              <w:jc w:val="left"/>
            </w:pPr>
            <w:r>
              <w:t xml:space="preserve">Certified Mechanic – Transmission &amp; Driveline Specialist (80-hour contract per month, June–August 2025)</w:t>
            </w:r>
          </w:p>
        </w:tc>
        <w:tc>
          <w:tcPr/>
          <w:p>
            <w:pPr>
              <w:pStyle w:val="Compact"/>
              <w:jc w:val="left"/>
            </w:pPr>
            <w:r>
              <w:t xml:space="preserve">2</w:t>
            </w:r>
          </w:p>
        </w:tc>
        <w:tc>
          <w:tcPr/>
          <w:p>
            <w:pPr>
              <w:pStyle w:val="Compact"/>
              <w:jc w:val="left"/>
            </w:pPr>
            <w:r>
              <w:t xml:space="preserve">Contract</w:t>
            </w:r>
          </w:p>
        </w:tc>
        <w:tc>
          <w:tcPr/>
          <w:p>
            <w:pPr>
              <w:pStyle w:val="Compact"/>
              <w:jc w:val="left"/>
            </w:pPr>
            <w:r>
              <w:t xml:space="preserve">162,000.00</w:t>
            </w:r>
          </w:p>
        </w:tc>
        <w:tc>
          <w:tcPr/>
          <w:p>
            <w:pPr>
              <w:pStyle w:val="Compact"/>
              <w:jc w:val="left"/>
            </w:pPr>
            <w:r>
              <w:t xml:space="preserve">324,000.00</w:t>
            </w:r>
          </w:p>
        </w:tc>
      </w:tr>
      <w:tr>
        <w:tc>
          <w:tcPr/>
          <w:p>
            <w:pPr>
              <w:pStyle w:val="Compact"/>
              <w:jc w:val="left"/>
            </w:pPr>
            <w:r>
              <w:t xml:space="preserve">03</w:t>
            </w:r>
          </w:p>
        </w:tc>
        <w:tc>
          <w:tcPr/>
          <w:p>
            <w:pPr>
              <w:pStyle w:val="Compact"/>
              <w:jc w:val="left"/>
            </w:pPr>
            <w:r>
              <w:t xml:space="preserve">Automotive Diagnostic Scanner – Bosch KTS 590 (with Russian-language software license)</w:t>
            </w:r>
          </w:p>
        </w:tc>
        <w:tc>
          <w:tcPr/>
          <w:p>
            <w:pPr>
              <w:pStyle w:val="Compact"/>
              <w:jc w:val="left"/>
            </w:pPr>
            <w:r>
              <w:t xml:space="preserve">4</w:t>
            </w:r>
          </w:p>
        </w:tc>
        <w:tc>
          <w:tcPr/>
          <w:p>
            <w:pPr>
              <w:pStyle w:val="Compact"/>
              <w:jc w:val="left"/>
            </w:pPr>
            <w:r>
              <w:t xml:space="preserve">Unit</w:t>
            </w:r>
          </w:p>
        </w:tc>
        <w:tc>
          <w:tcPr/>
          <w:p>
            <w:pPr>
              <w:pStyle w:val="Compact"/>
              <w:jc w:val="left"/>
            </w:pPr>
            <w:r>
              <w:t xml:space="preserve">218,500.00</w:t>
            </w:r>
          </w:p>
        </w:tc>
        <w:tc>
          <w:tcPr/>
          <w:p>
            <w:pPr>
              <w:pStyle w:val="Compact"/>
              <w:jc w:val="left"/>
            </w:pPr>
            <w:r>
              <w:t xml:space="preserve">874,000.00</w:t>
            </w:r>
          </w:p>
        </w:tc>
      </w:tr>
      <w:tr>
        <w:tc>
          <w:tcPr/>
          <w:p>
            <w:pPr>
              <w:pStyle w:val="Compact"/>
              <w:jc w:val="left"/>
            </w:pPr>
            <w:r>
              <w:t xml:space="preserve">04</w:t>
            </w:r>
          </w:p>
        </w:tc>
        <w:tc>
          <w:tcPr/>
          <w:p>
            <w:pPr>
              <w:pStyle w:val="Compact"/>
              <w:jc w:val="left"/>
            </w:pPr>
            <w:r>
              <w:t xml:space="preserve">Hydraulic Lift, 4-Post, 12-tonne capacity – installation at Russia Saint Petersburg facility</w:t>
            </w:r>
          </w:p>
        </w:tc>
        <w:tc>
          <w:tcPr/>
          <w:p>
            <w:pPr>
              <w:pStyle w:val="Compact"/>
              <w:jc w:val="left"/>
            </w:pPr>
            <w:r>
              <w:t xml:space="preserve">2</w:t>
            </w:r>
          </w:p>
        </w:tc>
        <w:tc>
          <w:tcPr/>
          <w:p>
            <w:pPr>
              <w:pStyle w:val="Compact"/>
              <w:jc w:val="left"/>
            </w:pPr>
            <w:r>
              <w:t xml:space="preserve">Unit</w:t>
            </w:r>
          </w:p>
        </w:tc>
        <w:tc>
          <w:tcPr/>
          <w:p>
            <w:pPr>
              <w:pStyle w:val="Compact"/>
              <w:jc w:val="left"/>
            </w:pPr>
            <w:r>
              <w:t xml:space="preserve">485,000.00</w:t>
            </w:r>
          </w:p>
        </w:tc>
        <w:tc>
          <w:tcPr/>
          <w:p>
            <w:pPr>
              <w:pStyle w:val="Compact"/>
              <w:jc w:val="left"/>
            </w:pPr>
            <w:r>
              <w:t xml:space="preserve">970,000.00</w:t>
            </w:r>
          </w:p>
        </w:tc>
      </w:tr>
      <w:tr>
        <w:tc>
          <w:tcPr/>
          <w:p>
            <w:pPr>
              <w:pStyle w:val="Compact"/>
              <w:jc w:val="left"/>
            </w:pPr>
            <w:r>
              <w:t xml:space="preserve">05</w:t>
            </w:r>
          </w:p>
        </w:tc>
        <w:tc>
          <w:tcPr/>
          <w:p>
            <w:pPr>
              <w:pStyle w:val="Compact"/>
              <w:jc w:val="left"/>
            </w:pPr>
            <w:r>
              <w:t xml:space="preserve">OEM Engine Oil Filter Set – compatible with KAMAZ-5320 and GAZelle Next fleet (per 1,000 km service interval)</w:t>
            </w:r>
          </w:p>
        </w:tc>
        <w:tc>
          <w:tcPr/>
          <w:p>
            <w:pPr>
              <w:pStyle w:val="Compact"/>
              <w:jc w:val="left"/>
            </w:pPr>
            <w:r>
              <w:t xml:space="preserve">120</w:t>
            </w:r>
          </w:p>
        </w:tc>
        <w:tc>
          <w:tcPr/>
          <w:p>
            <w:pPr>
              <w:pStyle w:val="Compact"/>
              <w:jc w:val="left"/>
            </w:pPr>
            <w:r>
              <w:t xml:space="preserve">Set</w:t>
            </w:r>
          </w:p>
        </w:tc>
        <w:tc>
          <w:tcPr/>
          <w:p>
            <w:pPr>
              <w:pStyle w:val="Compact"/>
              <w:jc w:val="left"/>
            </w:pPr>
            <w:r>
              <w:t xml:space="preserve">2,850.00</w:t>
            </w:r>
          </w:p>
        </w:tc>
        <w:tc>
          <w:tcPr/>
          <w:p>
            <w:pPr>
              <w:pStyle w:val="Compact"/>
              <w:jc w:val="left"/>
            </w:pPr>
            <w:r>
              <w:t xml:space="preserve">342,000.00</w:t>
            </w:r>
          </w:p>
        </w:tc>
      </w:tr>
      <w:tr>
        <w:tc>
          <w:tcPr/>
          <w:p>
            <w:pPr>
              <w:pStyle w:val="Compact"/>
              <w:jc w:val="left"/>
            </w:pPr>
            <w:r>
              <w:t xml:space="preserve">06</w:t>
            </w:r>
          </w:p>
        </w:tc>
        <w:tc>
          <w:tcPr/>
          <w:p>
            <w:pPr>
              <w:pStyle w:val="Compact"/>
              <w:jc w:val="left"/>
            </w:pPr>
            <w:r>
              <w:t xml:space="preserve">Brake Pad &amp; Rotor Assembly – front axle, heavy-duty commercial grade</w:t>
            </w:r>
          </w:p>
        </w:tc>
        <w:tc>
          <w:tcPr/>
          <w:p>
            <w:pPr>
              <w:pStyle w:val="Compact"/>
              <w:jc w:val="left"/>
            </w:pPr>
            <w:r>
              <w:t xml:space="preserve">60</w:t>
            </w:r>
          </w:p>
        </w:tc>
        <w:tc>
          <w:tcPr/>
          <w:p>
            <w:pPr>
              <w:pStyle w:val="Compact"/>
              <w:jc w:val="left"/>
            </w:pPr>
            <w:r>
              <w:t xml:space="preserve">Set</w:t>
            </w:r>
          </w:p>
        </w:tc>
        <w:tc>
          <w:tcPr/>
          <w:p>
            <w:pPr>
              <w:pStyle w:val="Compact"/>
              <w:jc w:val="left"/>
            </w:pPr>
            <w:r>
              <w:t xml:space="preserve">7,400.00</w:t>
            </w:r>
          </w:p>
        </w:tc>
        <w:tc>
          <w:tcPr/>
          <w:p>
            <w:pPr>
              <w:pStyle w:val="Compact"/>
              <w:jc w:val="left"/>
            </w:pPr>
            <w:r>
              <w:t xml:space="preserve">444,000.00</w:t>
            </w:r>
          </w:p>
        </w:tc>
      </w:tr>
      <w:tr>
        <w:tc>
          <w:tcPr/>
          <w:p>
            <w:pPr>
              <w:pStyle w:val="Compact"/>
              <w:jc w:val="left"/>
            </w:pPr>
            <w:r>
              <w:t xml:space="preserve">07</w:t>
            </w:r>
          </w:p>
        </w:tc>
        <w:tc>
          <w:tcPr/>
          <w:p>
            <w:pPr>
              <w:pStyle w:val="Compact"/>
              <w:jc w:val="left"/>
            </w:pPr>
            <w:r>
              <w:t xml:space="preserve">Workshop Tooling Kit – 210-piece professional Mechanic set (torque wrenches, socket sets, pullers, compressors)</w:t>
            </w:r>
          </w:p>
        </w:tc>
        <w:tc>
          <w:tcPr/>
          <w:p>
            <w:pPr>
              <w:pStyle w:val="Compact"/>
              <w:jc w:val="left"/>
            </w:pPr>
            <w:r>
              <w:t xml:space="preserve">6</w:t>
            </w:r>
          </w:p>
        </w:tc>
        <w:tc>
          <w:tcPr/>
          <w:p>
            <w:pPr>
              <w:pStyle w:val="Compact"/>
              <w:jc w:val="left"/>
            </w:pPr>
            <w:r>
              <w:t xml:space="preserve">Kit</w:t>
            </w:r>
          </w:p>
        </w:tc>
        <w:tc>
          <w:tcPr/>
          <w:p>
            <w:pPr>
              <w:pStyle w:val="Compact"/>
              <w:jc w:val="left"/>
            </w:pPr>
            <w:r>
              <w:t xml:space="preserve">96,000.00</w:t>
            </w:r>
          </w:p>
        </w:tc>
        <w:tc>
          <w:tcPr/>
          <w:p>
            <w:pPr>
              <w:pStyle w:val="Compact"/>
              <w:jc w:val="left"/>
            </w:pPr>
            <w:r>
              <w:t xml:space="preserve">576,000.00</w:t>
            </w:r>
          </w:p>
        </w:tc>
      </w:tr>
      <w:tr>
        <w:tc>
          <w:tcPr/>
          <w:p>
            <w:pPr>
              <w:pStyle w:val="Compact"/>
              <w:jc w:val="left"/>
            </w:pPr>
            <w:r>
              <w:t xml:space="preserve">08</w:t>
            </w:r>
          </w:p>
        </w:tc>
        <w:tc>
          <w:tcPr/>
          <w:p>
            <w:pPr>
              <w:pStyle w:val="Compact"/>
              <w:jc w:val="left"/>
            </w:pPr>
            <w:r>
              <w:t xml:space="preserve">On-site Installation &amp; Calibration of Hydraulic Lifts and Diagnostic Equipment at Russia Saint Petersburg premises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09</w:t>
            </w:r>
          </w:p>
        </w:tc>
        <w:tc>
          <w:tcPr/>
          <w:p>
            <w:pPr>
              <w:pStyle w:val="Compact"/>
              <w:jc w:val="left"/>
            </w:pPr>
            <w:r>
              <w:t xml:space="preserve">Technical Training for In-house Mechanic Staff – 3-day workshop on new diagnostic protocols (conducted in Saint Petersburg)</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198,000.00</w:t>
            </w:r>
          </w:p>
        </w:tc>
        <w:tc>
          <w:tcPr/>
          <w:p>
            <w:pPr>
              <w:pStyle w:val="Compact"/>
              <w:jc w:val="left"/>
            </w:pPr>
            <w:r>
              <w:t xml:space="preserve">198,000.00</w:t>
            </w:r>
          </w:p>
        </w:tc>
      </w:tr>
      <w:tr>
        <w:tc>
          <w:tcPr>
            <w:gridSpan w:val="5"/>
          </w:tcPr>
          <w:p>
            <w:pPr>
              <w:pStyle w:val="Compact"/>
              <w:jc w:val="right"/>
            </w:pPr>
            <w:r>
              <w:t xml:space="preserve">Subtotal:</w:t>
            </w:r>
          </w:p>
        </w:tc>
        <w:tc>
          <w:tcPr/>
          <w:p>
            <w:pPr>
              <w:pStyle w:val="Compact"/>
              <w:jc w:val="left"/>
            </w:pPr>
            <w:r>
              <w:t xml:space="preserve">4,434,000.00</w:t>
            </w:r>
          </w:p>
        </w:tc>
      </w:tr>
      <w:tr>
        <w:tc>
          <w:tcPr>
            <w:gridSpan w:val="5"/>
          </w:tcPr>
          <w:p>
            <w:pPr>
              <w:pStyle w:val="Compact"/>
              <w:jc w:val="right"/>
            </w:pPr>
            <w:r>
              <w:t xml:space="preserve">VAT (20%):</w:t>
            </w:r>
          </w:p>
        </w:tc>
        <w:tc>
          <w:tcPr/>
          <w:p>
            <w:pPr>
              <w:pStyle w:val="Compact"/>
              <w:jc w:val="left"/>
            </w:pPr>
            <w:r>
              <w:t xml:space="preserve">886,800.00</w:t>
            </w:r>
          </w:p>
        </w:tc>
      </w:tr>
      <w:tr>
        <w:tc>
          <w:tcPr>
            <w:gridSpan w:val="5"/>
          </w:tcPr>
          <w:p>
            <w:pPr>
              <w:pStyle w:val="Compact"/>
              <w:jc w:val="right"/>
            </w:pPr>
            <w:r>
              <w:rPr>
                <w:bCs/>
                <w:b/>
              </w:rPr>
              <w:t xml:space="preserve">Grand Total (RUB):</w:t>
            </w:r>
          </w:p>
        </w:tc>
        <w:tc>
          <w:tcPr/>
          <w:p>
            <w:pPr>
              <w:pStyle w:val="Compact"/>
              <w:jc w:val="left"/>
            </w:pPr>
            <w:r>
              <w:rPr>
                <w:bCs/>
                <w:b/>
              </w:rPr>
              <w:t xml:space="preserve">5,320,800.00</w:t>
            </w:r>
          </w:p>
        </w:tc>
      </w:tr>
    </w:tbl>
    <w:bookmarkEnd w:id="23"/>
    <w:bookmarkStart w:id="24" w:name="delivery-and-installation-details"/>
    <w:p>
      <w:pPr>
        <w:pStyle w:val="Heading2"/>
      </w:pPr>
      <w:r>
        <w:t xml:space="preserve">4. Delivery and Installation Details</w:t>
      </w:r>
    </w:p>
    <w:p>
      <w:pPr>
        <w:pStyle w:val="FirstParagraph"/>
      </w:pPr>
      <w:r>
        <w:t xml:space="preserve">All physical goods specified in this Purchase Order shall be delivered to the buyer's facility at 142 Liteyny Avenue, Russia Saint Petersburg, 191025. The supplier is responsible for all transportation, insurance, and customs clearance (if applicable for imported components) within the Russian Federation. Delivery must be completed no later than 30 June 2025. Installation of the hydraulic lifts and diagnostic equipment shall be performed by the supplier's certified</w:t>
      </w:r>
      <w:r>
        <w:t xml:space="preserve"> </w:t>
      </w:r>
      <w:r>
        <w:t xml:space="preserve">Mechanic</w:t>
      </w:r>
      <w:r>
        <w:t xml:space="preserve"> </w:t>
      </w:r>
      <w:r>
        <w:t xml:space="preserve">technicians on-site in</w:t>
      </w:r>
      <w:r>
        <w:t xml:space="preserve"> </w:t>
      </w:r>
      <w:r>
        <w:t xml:space="preserve">Russia Saint Petersburg</w:t>
      </w:r>
      <w:r>
        <w:t xml:space="preserve"> </w:t>
      </w:r>
      <w:r>
        <w:t xml:space="preserve">within five (5) business days of delivery. The buyer's site manager, Mr. Alexander Petrov, shall coordinate access and scheduling.</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Civil Code of the Russian Federation and applicable commercial regulations in force in Russia Saint Petersburg and the broader Leningrad Oblast jurisdiction.</w:t>
      </w:r>
    </w:p>
    <w:p>
      <w:pPr>
        <w:numPr>
          <w:ilvl w:val="0"/>
          <w:numId w:val="1001"/>
        </w:numPr>
        <w:pStyle w:val="Compact"/>
      </w:pPr>
      <w:r>
        <w:t xml:space="preserve">All</w:t>
      </w:r>
      <w:r>
        <w:t xml:space="preserve"> </w:t>
      </w:r>
      <w:r>
        <w:t xml:space="preserve">Mechanic</w:t>
      </w:r>
      <w:r>
        <w:t xml:space="preserve"> </w:t>
      </w:r>
      <w:r>
        <w:t xml:space="preserve">personnel engaged under this Purchase Order must hold valid Russian Federation professional certifications (Category A or B automotive technician license) and shall present identification and qualification documents prior to commencing work on the buyer's premises.</w:t>
      </w:r>
    </w:p>
    <w:p>
      <w:pPr>
        <w:numPr>
          <w:ilvl w:val="0"/>
          <w:numId w:val="1001"/>
        </w:numPr>
        <w:pStyle w:val="Compact"/>
      </w:pPr>
      <w:r>
        <w:t xml:space="preserve">The supplier warrants that all parts and equipment supplied are new, original manufacturer products, and carry a minimum warranty of twenty-four (24) months from the date of installation in</w:t>
      </w:r>
      <w:r>
        <w:t xml:space="preserve"> </w:t>
      </w:r>
      <w:r>
        <w:t xml:space="preserve">Russia Saint Petersburg</w:t>
      </w:r>
      <w:r>
        <w:t xml:space="preserve">.</w:t>
      </w:r>
    </w:p>
    <w:p>
      <w:pPr>
        <w:numPr>
          <w:ilvl w:val="0"/>
          <w:numId w:val="1001"/>
        </w:numPr>
        <w:pStyle w:val="Compact"/>
      </w:pPr>
      <w:r>
        <w:t xml:space="preserve">Payment shall be made via bank transfer to the account specified in Section 1 within thirty (30) calendar days of receipt of a valid invoice and signed delivery/completion certificate. Late payments shall accrue interest at the key rate of the Central Bank of the Russian Federation.</w:t>
      </w:r>
    </w:p>
    <w:p>
      <w:pPr>
        <w:numPr>
          <w:ilvl w:val="0"/>
          <w:numId w:val="1001"/>
        </w:numPr>
        <w:pStyle w:val="Compact"/>
      </w:pPr>
      <w:r>
        <w:t xml:space="preserve">The supplier shall maintain comprehensive liability insurance covering all</w:t>
      </w:r>
      <w:r>
        <w:t xml:space="preserve"> </w:t>
      </w:r>
      <w:r>
        <w:t xml:space="preserve">Mechanic</w:t>
      </w:r>
      <w:r>
        <w:t xml:space="preserve"> </w:t>
      </w:r>
      <w:r>
        <w:t xml:space="preserve">staff and equipment during the performance period, with a minimum coverage of 10,000,000 RUB per incident.</w:t>
      </w:r>
    </w:p>
    <w:p>
      <w:pPr>
        <w:numPr>
          <w:ilvl w:val="0"/>
          <w:numId w:val="1001"/>
        </w:numPr>
        <w:pStyle w:val="Compact"/>
      </w:pPr>
      <w:r>
        <w:t xml:space="preserve">Any modifications, substitutions, or changes to the scope of this Purchase Order must be documented in a written amendment signed by both parties. Verbal agreements are not binding.</w:t>
      </w:r>
    </w:p>
    <w:p>
      <w:pPr>
        <w:numPr>
          <w:ilvl w:val="0"/>
          <w:numId w:val="1001"/>
        </w:numPr>
        <w:pStyle w:val="Compact"/>
      </w:pPr>
      <w:r>
        <w:t xml:space="preserve">In the event of a dispute arising from this Purchase Order, the parties agree to first attempt resolution through good-faith negotiation. Should negotiation fail within fifteen (15) business days, the matter shall be submitted to the Arbitration Court of the City of Saint Petersburg, Russia.</w:t>
      </w:r>
    </w:p>
    <w:p>
      <w:pPr>
        <w:numPr>
          <w:ilvl w:val="0"/>
          <w:numId w:val="1001"/>
        </w:numPr>
        <w:pStyle w:val="Compact"/>
      </w:pPr>
      <w:r>
        <w:t xml:space="preserve">The supplier shall comply with all occupational health and safety regulations applicable in</w:t>
      </w:r>
      <w:r>
        <w:t xml:space="preserve"> </w:t>
      </w:r>
      <w:r>
        <w:t xml:space="preserve">Russia Saint Petersburg</w:t>
      </w:r>
      <w:r>
        <w:t xml:space="preserve">, including but not limited to Federal Law No. 426-FZ on special labor conditions assessment.</w:t>
      </w:r>
    </w:p>
    <w:p>
      <w:pPr>
        <w:numPr>
          <w:ilvl w:val="0"/>
          <w:numId w:val="1001"/>
        </w:numPr>
        <w:pStyle w:val="Compact"/>
      </w:pPr>
      <w:r>
        <w:t xml:space="preserve">This Purchase Order becomes effective upon signature by both authorized representatives and remains valid until full performance of all obligations herein.</w:t>
      </w:r>
    </w:p>
    <w:bookmarkEnd w:id="25"/>
    <w:bookmarkStart w:id="26" w:name="acceptance-and-signatures"/>
    <w:p>
      <w:pPr>
        <w:pStyle w:val="Heading2"/>
      </w:pPr>
      <w:r>
        <w:t xml:space="preserve">6. Acceptance and Signatures</w:t>
      </w:r>
    </w:p>
    <w:p>
      <w:pPr>
        <w:pStyle w:val="FirstParagraph"/>
      </w:pPr>
      <w:r>
        <w:t xml:space="preserve">By signing below, both parties acknowledge and agree to all terms, conditions, line items, and obligations set forth in this Purchase Order for</w:t>
      </w:r>
      <w:r>
        <w:t xml:space="preserve"> </w:t>
      </w:r>
      <w:r>
        <w:t xml:space="preserve">Mechanic</w:t>
      </w:r>
      <w:r>
        <w:t xml:space="preserve"> </w:t>
      </w:r>
      <w:r>
        <w:t xml:space="preserve">services and equipment procurement in</w:t>
      </w:r>
      <w:r>
        <w:t xml:space="preserve"> </w:t>
      </w:r>
      <w:r>
        <w:t xml:space="preserve">Russia Saint Petersburg</w:t>
      </w:r>
      <w:r>
        <w:t xml:space="preserve">.</w:t>
      </w:r>
    </w:p>
    <w:bookmarkEnd w:id="26"/>
    <w:p>
      <w:pPr>
        <w:pStyle w:val="BodyText"/>
      </w:pPr>
      <w:r>
        <w:rPr>
          <w:bCs/>
          <w:b/>
        </w:rPr>
        <w:t xml:space="preserve">For the Buyer:</w:t>
      </w:r>
    </w:p>
    <w:p>
      <w:pPr>
        <w:pStyle w:val="BodyText"/>
      </w:pPr>
      <w:r>
        <w:t xml:space="preserve">Northern Automotive Services LLC</w:t>
      </w:r>
    </w:p>
    <w:p>
      <w:pPr>
        <w:pStyle w:val="BodyText"/>
      </w:pPr>
      <w:r>
        <w:rPr>
          <w:bCs/>
          <w:b/>
        </w:rPr>
        <w:t xml:space="preserve">Name:</w:t>
      </w:r>
      <w:r>
        <w:t xml:space="preserve"> </w:t>
      </w:r>
      <w:r>
        <w:t xml:space="preserve">Elena S. Kuznetsova</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Supplier:</w:t>
      </w:r>
    </w:p>
    <w:p>
      <w:pPr>
        <w:pStyle w:val="BodyText"/>
      </w:pPr>
      <w:r>
        <w:t xml:space="preserve">Petrograd Mechanical Engineering &amp; Automotive Solutions JSC</w:t>
      </w:r>
    </w:p>
    <w:p>
      <w:pPr>
        <w:pStyle w:val="BodyText"/>
      </w:pPr>
      <w:r>
        <w:rPr>
          <w:bCs/>
          <w:b/>
        </w:rPr>
        <w:t xml:space="preserve">Name:</w:t>
      </w:r>
      <w:r>
        <w:t xml:space="preserve"> </w:t>
      </w:r>
      <w:r>
        <w:t xml:space="preserve">Dmitry A. Volkov</w:t>
      </w:r>
      <w:r>
        <w:br/>
      </w:r>
      <w:r>
        <w:rPr>
          <w:bCs/>
          <w:b/>
        </w:rPr>
        <w:t xml:space="preserve">Title:</w:t>
      </w:r>
      <w:r>
        <w:t xml:space="preserve"> </w:t>
      </w:r>
      <w:r>
        <w:t xml:space="preserve">Chief Operations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No. PO-RSP-2025-04872 | Issued in Russia Saint Petersburg, Russian Federation | 14 June 2025</w:t>
      </w:r>
    </w:p>
    <w:p>
      <w:pPr>
        <w:pStyle w:val="BodyText"/>
      </w:pPr>
      <w:r>
        <w:t xml:space="preserve">This document is a controlled record.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Russia Saint Petersburg</dc:title>
  <dc:creator/>
  <dc:language>en</dc:language>
  <cp:keywords/>
  <dcterms:created xsi:type="dcterms:W3CDTF">2026-10-10T08:56:16Z</dcterms:created>
  <dcterms:modified xsi:type="dcterms:W3CDTF">2026-10-10T08:56:16Z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