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Institutional Procurement Document – Research &amp; Development Division</w:t>
      </w:r>
    </w:p>
    <w:p>
      <w:pPr>
        <w:pStyle w:val="BodyText"/>
      </w:pPr>
      <w:r>
        <w:t xml:space="preserve">PO No.: AR-CBA-2025-04871</w:t>
      </w:r>
    </w:p>
    <w:p>
      <w:pPr>
        <w:pStyle w:val="BodyText"/>
      </w:pPr>
      <w:r>
        <w:t xml:space="preserve">Date of Issue: 15 June 2025</w:t>
      </w:r>
    </w:p>
    <w:p>
      <w:pPr>
        <w:pStyle w:val="BodyText"/>
      </w:pPr>
      <w:r>
        <w:t xml:space="preserve">Valid Until: 15 September 2025</w:t>
      </w:r>
    </w:p>
    <w:bookmarkEnd w:id="20"/>
    <w:bookmarkStart w:id="21" w:name="buyer-issuing-institution"/>
    <w:p>
      <w:pPr>
        <w:pStyle w:val="Heading3"/>
      </w:pPr>
      <w:r>
        <w:t xml:space="preserve">Buyer (Issuing Institution)</w:t>
      </w:r>
    </w:p>
    <w:p>
      <w:pPr>
        <w:pStyle w:val="FirstParagraph"/>
      </w:pPr>
      <w:r>
        <w:rPr>
          <w:bCs/>
          <w:b/>
        </w:rPr>
        <w:t xml:space="preserve">Universidad Nacional de Córdoba</w:t>
      </w:r>
    </w:p>
    <w:p>
      <w:pPr>
        <w:pStyle w:val="BodyText"/>
      </w:pPr>
      <w:r>
        <w:t xml:space="preserve">Facultad de Ciencias Médicas</w:t>
      </w:r>
    </w:p>
    <w:p>
      <w:pPr>
        <w:pStyle w:val="BodyText"/>
      </w:pPr>
      <w:r>
        <w:t xml:space="preserve">Departamento de Investigación Biomédica</w:t>
      </w:r>
    </w:p>
    <w:p>
      <w:pPr>
        <w:pStyle w:val="BodyText"/>
      </w:pPr>
      <w:r>
        <w:t xml:space="preserve">Av. Vélez Sarsfield 298</w:t>
      </w:r>
    </w:p>
    <w:p>
      <w:pPr>
        <w:pStyle w:val="BodyText"/>
      </w:pPr>
      <w:r>
        <w:t xml:space="preserve">Córdoba, Argentina</w:t>
      </w:r>
    </w:p>
    <w:p>
      <w:pPr>
        <w:pStyle w:val="BodyText"/>
      </w:pPr>
      <w:r>
        <w:t xml:space="preserve">C.P. 5000</w:t>
      </w:r>
    </w:p>
    <w:p>
      <w:pPr>
        <w:pStyle w:val="BodyText"/>
      </w:pPr>
      <w:r>
        <w:t xml:space="preserve">Tel: +54 (351) 433-0000</w:t>
      </w:r>
    </w:p>
    <w:p>
      <w:pPr>
        <w:pStyle w:val="BodyText"/>
      </w:pPr>
      <w:r>
        <w:t xml:space="preserve">Email: compras@unc.edu.ar</w:t>
      </w:r>
    </w:p>
    <w:p>
      <w:pPr>
        <w:pStyle w:val="BodyText"/>
      </w:pPr>
      <w:r>
        <w:t xml:space="preserve">CUIT: 30-50000000-1</w:t>
      </w:r>
    </w:p>
    <w:bookmarkEnd w:id="21"/>
    <w:bookmarkStart w:id="22" w:name="supplier-vendor"/>
    <w:p>
      <w:pPr>
        <w:pStyle w:val="Heading3"/>
      </w:pPr>
      <w:r>
        <w:t xml:space="preserve">Supplier (Vendor)</w:t>
      </w:r>
    </w:p>
    <w:p>
      <w:pPr>
        <w:pStyle w:val="FirstParagraph"/>
      </w:pPr>
      <w:r>
        <w:rPr>
          <w:bCs/>
          <w:b/>
        </w:rPr>
        <w:t xml:space="preserve">LabMed Research Supplies S.A.</w:t>
      </w:r>
    </w:p>
    <w:p>
      <w:pPr>
        <w:pStyle w:val="BodyText"/>
      </w:pPr>
      <w:r>
        <w:t xml:space="preserve">Av. Rivadavia 4520, Piso 12</w:t>
      </w:r>
    </w:p>
    <w:p>
      <w:pPr>
        <w:pStyle w:val="BodyText"/>
      </w:pPr>
      <w:r>
        <w:t xml:space="preserve">Ciudad de Buenos Aires, Argentina</w:t>
      </w:r>
    </w:p>
    <w:p>
      <w:pPr>
        <w:pStyle w:val="BodyText"/>
      </w:pPr>
      <w:r>
        <w:t xml:space="preserve">C.P. 1033</w:t>
      </w:r>
    </w:p>
    <w:p>
      <w:pPr>
        <w:pStyle w:val="BodyText"/>
      </w:pPr>
      <w:r>
        <w:t xml:space="preserve">Tel: +54 (11) 4321-7890</w:t>
      </w:r>
    </w:p>
    <w:p>
      <w:pPr>
        <w:pStyle w:val="BodyText"/>
      </w:pPr>
      <w:r>
        <w:t xml:space="preserve">Email: ventas@labmedresearch.com.ar</w:t>
      </w:r>
    </w:p>
    <w:p>
      <w:pPr>
        <w:pStyle w:val="BodyText"/>
      </w:pPr>
      <w:r>
        <w:t xml:space="preserve">CUIT: 30-71234567-8</w:t>
      </w:r>
    </w:p>
    <w:bookmarkEnd w:id="22"/>
    <w:p>
      <w:pPr>
        <w:pStyle w:val="BodyText"/>
      </w:pPr>
      <w:r>
        <w:t xml:space="preserve">This</w:t>
      </w:r>
      <w:r>
        <w:t xml:space="preserve"> </w:t>
      </w:r>
      <w:r>
        <w:t xml:space="preserve">Purchase Order</w:t>
      </w:r>
      <w:r>
        <w:t xml:space="preserve"> </w:t>
      </w:r>
      <w:r>
        <w:t xml:space="preserve">is issued by the Universidad Nacional de Córdoba, located in</w:t>
      </w:r>
      <w:r>
        <w:t xml:space="preserve"> </w:t>
      </w:r>
      <w:r>
        <w:t xml:space="preserve">Argentina Córdoba</w:t>
      </w:r>
      <w:r>
        <w:t xml:space="preserve">, for the procurement of specialized equipment, reagents, and laboratory consumables required to support the ongoing work of a</w:t>
      </w:r>
      <w:r>
        <w:t xml:space="preserve"> </w:t>
      </w:r>
      <w:r>
        <w:t xml:space="preserve">Medical Researcher</w:t>
      </w:r>
      <w:r>
        <w:t xml:space="preserve"> </w:t>
      </w:r>
      <w:r>
        <w:t xml:space="preserve">conducting advanced clinical and molecular biology studies within the Faculty of Medical Sciences. This document serves as the formal binding agreement between the purchasing institution and the supplier, establishing the terms, conditions, quantities, and pricing for all goods and services to be delivered in support of the</w:t>
      </w:r>
      <w:r>
        <w:t xml:space="preserve"> </w:t>
      </w:r>
      <w:r>
        <w:t xml:space="preserve">Medical Researcher</w:t>
      </w:r>
      <w:r>
        <w:t xml:space="preserve">'s project titled "Molecular Pathways in Regional Oncology: A Multi-Center Study in Central Argentina."</w:t>
      </w:r>
    </w:p>
    <w:p>
      <w:pPr>
        <w:pStyle w:val="BodyText"/>
      </w:pPr>
      <w:r>
        <w:t xml:space="preserve">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Real-Time PCR Thermal Cycler (Applied Biosystems 7500) – for the</w:t>
            </w:r>
            <w:r>
              <w:t xml:space="preserve"> </w:t>
            </w:r>
            <w:r>
              <w:t xml:space="preserve">Medical Researcher</w:t>
            </w:r>
            <w:r>
              <w:t xml:space="preserve">'s gene expression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02</w:t>
            </w:r>
          </w:p>
        </w:tc>
        <w:tc>
          <w:tcPr/>
          <w:p>
            <w:pPr>
              <w:pStyle w:val="Compact"/>
              <w:jc w:val="left"/>
            </w:pPr>
            <w:r>
              <w:t xml:space="preserve">Flow Cytometry Analyzer (BD FACSCanto II) – immunophenotyping for the</w:t>
            </w:r>
            <w:r>
              <w:t xml:space="preserve"> </w:t>
            </w:r>
            <w:r>
              <w:t xml:space="preserve">Medical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22,300,000.00</w:t>
            </w:r>
          </w:p>
        </w:tc>
        <w:tc>
          <w:tcPr/>
          <w:p>
            <w:pPr>
              <w:pStyle w:val="Compact"/>
              <w:jc w:val="left"/>
            </w:pPr>
            <w:r>
              <w:t xml:space="preserve">22,300,000.00</w:t>
            </w:r>
          </w:p>
        </w:tc>
      </w:tr>
      <w:tr>
        <w:tc>
          <w:tcPr/>
          <w:p>
            <w:pPr>
              <w:pStyle w:val="Compact"/>
              <w:jc w:val="left"/>
            </w:pPr>
            <w:r>
              <w:t xml:space="preserve">03</w:t>
            </w:r>
          </w:p>
        </w:tc>
        <w:tc>
          <w:tcPr/>
          <w:p>
            <w:pPr>
              <w:pStyle w:val="Compact"/>
              <w:jc w:val="left"/>
            </w:pPr>
            <w:r>
              <w:t xml:space="preserve">Ultra-Low Temperature Freezer (-80°C, 200L) – sample storage for the</w:t>
            </w:r>
            <w:r>
              <w:t xml:space="preserve"> </w:t>
            </w:r>
            <w:r>
              <w:t xml:space="preserve">Medical Researcher</w:t>
            </w:r>
            <w:r>
              <w:t xml:space="preserve">'s biobank</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4,800,000.00</w:t>
            </w:r>
          </w:p>
        </w:tc>
        <w:tc>
          <w:tcPr/>
          <w:p>
            <w:pPr>
              <w:pStyle w:val="Compact"/>
              <w:jc w:val="left"/>
            </w:pPr>
            <w:r>
              <w:t xml:space="preserve">9,600,000.00</w:t>
            </w:r>
          </w:p>
        </w:tc>
      </w:tr>
      <w:tr>
        <w:tc>
          <w:tcPr/>
          <w:p>
            <w:pPr>
              <w:pStyle w:val="Compact"/>
              <w:jc w:val="left"/>
            </w:pPr>
            <w:r>
              <w:t xml:space="preserve">04</w:t>
            </w:r>
          </w:p>
        </w:tc>
        <w:tc>
          <w:tcPr/>
          <w:p>
            <w:pPr>
              <w:pStyle w:val="Compact"/>
              <w:jc w:val="left"/>
            </w:pPr>
            <w:r>
              <w:t xml:space="preserve">Cell Culture Incubator (CO₂, 37°C, 180L) – for in vitro studies by the</w:t>
            </w:r>
            <w:r>
              <w:t xml:space="preserve"> </w:t>
            </w:r>
            <w:r>
              <w:t xml:space="preserve">Medical Researcher</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2,150,000.00</w:t>
            </w:r>
          </w:p>
        </w:tc>
        <w:tc>
          <w:tcPr/>
          <w:p>
            <w:pPr>
              <w:pStyle w:val="Compact"/>
              <w:jc w:val="left"/>
            </w:pPr>
            <w:r>
              <w:t xml:space="preserve">6,450,000.00</w:t>
            </w:r>
          </w:p>
        </w:tc>
      </w:tr>
      <w:tr>
        <w:tc>
          <w:tcPr/>
          <w:p>
            <w:pPr>
              <w:pStyle w:val="Compact"/>
              <w:jc w:val="left"/>
            </w:pPr>
            <w:r>
              <w:t xml:space="preserve">05</w:t>
            </w:r>
          </w:p>
        </w:tc>
        <w:tc>
          <w:tcPr/>
          <w:p>
            <w:pPr>
              <w:pStyle w:val="Compact"/>
              <w:jc w:val="left"/>
            </w:pPr>
            <w:r>
              <w:t xml:space="preserve">Complete Molecular Biology Reagent Kit (DNA/RNA extraction, PCR master mix, primers) – 12-month supply</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385,000.00</w:t>
            </w:r>
          </w:p>
        </w:tc>
        <w:tc>
          <w:tcPr/>
          <w:p>
            <w:pPr>
              <w:pStyle w:val="Compact"/>
              <w:jc w:val="left"/>
            </w:pPr>
            <w:r>
              <w:t xml:space="preserve">4,620,000.00</w:t>
            </w:r>
          </w:p>
        </w:tc>
      </w:tr>
      <w:tr>
        <w:tc>
          <w:tcPr/>
          <w:p>
            <w:pPr>
              <w:pStyle w:val="Compact"/>
              <w:jc w:val="left"/>
            </w:pPr>
            <w:r>
              <w:t xml:space="preserve">06</w:t>
            </w:r>
          </w:p>
        </w:tc>
        <w:tc>
          <w:tcPr/>
          <w:p>
            <w:pPr>
              <w:pStyle w:val="Compact"/>
              <w:jc w:val="left"/>
            </w:pPr>
            <w:r>
              <w:t xml:space="preserve">Antibody Panel (Monoclonal &amp; Polyclonal, 48-plex) – for the</w:t>
            </w:r>
            <w:r>
              <w:t xml:space="preserve"> </w:t>
            </w:r>
            <w:r>
              <w:t xml:space="preserve">Medical Researcher</w:t>
            </w:r>
            <w:r>
              <w:t xml:space="preserve">'s immunohistochemistry work</w:t>
            </w:r>
          </w:p>
        </w:tc>
        <w:tc>
          <w:tcPr/>
          <w:p>
            <w:pPr>
              <w:pStyle w:val="Compact"/>
              <w:jc w:val="left"/>
            </w:pPr>
            <w:r>
              <w:t xml:space="preserve">6</w:t>
            </w:r>
          </w:p>
        </w:tc>
        <w:tc>
          <w:tcPr/>
          <w:p>
            <w:pPr>
              <w:pStyle w:val="Compact"/>
              <w:jc w:val="left"/>
            </w:pPr>
            <w:r>
              <w:t xml:space="preserve">Sets</w:t>
            </w:r>
          </w:p>
        </w:tc>
        <w:tc>
          <w:tcPr/>
          <w:p>
            <w:pPr>
              <w:pStyle w:val="Compact"/>
              <w:jc w:val="left"/>
            </w:pPr>
            <w:r>
              <w:t xml:space="preserve">720,000.00</w:t>
            </w:r>
          </w:p>
        </w:tc>
        <w:tc>
          <w:tcPr/>
          <w:p>
            <w:pPr>
              <w:pStyle w:val="Compact"/>
              <w:jc w:val="left"/>
            </w:pPr>
            <w:r>
              <w:t xml:space="preserve">4,320,000.00</w:t>
            </w:r>
          </w:p>
        </w:tc>
      </w:tr>
      <w:tr>
        <w:tc>
          <w:tcPr/>
          <w:p>
            <w:pPr>
              <w:pStyle w:val="Compact"/>
              <w:jc w:val="left"/>
            </w:pPr>
            <w:r>
              <w:t xml:space="preserve">07</w:t>
            </w:r>
          </w:p>
        </w:tc>
        <w:tc>
          <w:tcPr/>
          <w:p>
            <w:pPr>
              <w:pStyle w:val="Compact"/>
              <w:jc w:val="left"/>
            </w:pPr>
            <w:r>
              <w:t xml:space="preserve">Personal Protective Equipment (PPE) – N95 masks, nitrile gloves, lab coats, safety goggles (annual supply for 15 lab personnel)</w:t>
            </w:r>
          </w:p>
        </w:tc>
        <w:tc>
          <w:tcPr/>
          <w:p>
            <w:pPr>
              <w:pStyle w:val="Compact"/>
              <w:jc w:val="left"/>
            </w:pPr>
            <w:r>
              <w:t xml:space="preserve">15</w:t>
            </w:r>
          </w:p>
        </w:tc>
        <w:tc>
          <w:tcPr/>
          <w:p>
            <w:pPr>
              <w:pStyle w:val="Compact"/>
              <w:jc w:val="left"/>
            </w:pPr>
            <w:r>
              <w:t xml:space="preserve">Sets</w:t>
            </w:r>
          </w:p>
        </w:tc>
        <w:tc>
          <w:tcPr/>
          <w:p>
            <w:pPr>
              <w:pStyle w:val="Compact"/>
              <w:jc w:val="left"/>
            </w:pPr>
            <w:r>
              <w:t xml:space="preserve">95,000.00</w:t>
            </w:r>
          </w:p>
        </w:tc>
        <w:tc>
          <w:tcPr/>
          <w:p>
            <w:pPr>
              <w:pStyle w:val="Compact"/>
              <w:jc w:val="left"/>
            </w:pPr>
            <w:r>
              <w:t xml:space="preserve">1,425,000.00</w:t>
            </w:r>
          </w:p>
        </w:tc>
      </w:tr>
      <w:tr>
        <w:tc>
          <w:tcPr/>
          <w:p>
            <w:pPr>
              <w:pStyle w:val="Compact"/>
              <w:jc w:val="left"/>
            </w:pPr>
            <w:r>
              <w:t xml:space="preserve">08</w:t>
            </w:r>
          </w:p>
        </w:tc>
        <w:tc>
          <w:tcPr/>
          <w:p>
            <w:pPr>
              <w:pStyle w:val="Compact"/>
              <w:jc w:val="left"/>
            </w:pPr>
            <w:r>
              <w:t xml:space="preserve">Installation, Calibration &amp; Training Service – on-site at the</w:t>
            </w:r>
            <w:r>
              <w:t xml:space="preserve"> </w:t>
            </w:r>
            <w:r>
              <w:t xml:space="preserve">Argentina Córdoba</w:t>
            </w:r>
            <w:r>
              <w:t xml:space="preserve"> </w:t>
            </w:r>
            <w:r>
              <w:t xml:space="preserve">laboratory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3,200,000.00</w:t>
            </w:r>
          </w:p>
        </w:tc>
        <w:tc>
          <w:tcPr/>
          <w:p>
            <w:pPr>
              <w:pStyle w:val="Compact"/>
              <w:jc w:val="left"/>
            </w:pPr>
            <w:r>
              <w:t xml:space="preserve">3,200,000.00</w:t>
            </w:r>
          </w:p>
        </w:tc>
      </w:tr>
      <w:tr>
        <w:tc>
          <w:tcPr>
            <w:gridSpan w:val="5"/>
          </w:tcPr>
          <w:p>
            <w:pPr>
              <w:pStyle w:val="Compact"/>
              <w:jc w:val="left"/>
            </w:pPr>
            <w:r>
              <w:t xml:space="preserve">SUBTOTAL</w:t>
            </w:r>
          </w:p>
        </w:tc>
        <w:tc>
          <w:tcPr/>
          <w:p>
            <w:pPr>
              <w:pStyle w:val="Compact"/>
              <w:jc w:val="left"/>
            </w:pPr>
            <w:r>
              <w:t xml:space="preserve">70,415,000.00</w:t>
            </w:r>
          </w:p>
        </w:tc>
      </w:tr>
      <w:tr>
        <w:tc>
          <w:tcPr>
            <w:gridSpan w:val="5"/>
          </w:tcPr>
          <w:p>
            <w:pPr>
              <w:pStyle w:val="Compact"/>
              <w:jc w:val="left"/>
            </w:pPr>
            <w:r>
              <w:t xml:space="preserve">IVA (21% – Argentine Value Added Tax)</w:t>
            </w:r>
          </w:p>
        </w:tc>
        <w:tc>
          <w:tcPr/>
          <w:p>
            <w:pPr>
              <w:pStyle w:val="Compact"/>
              <w:jc w:val="left"/>
            </w:pPr>
            <w:r>
              <w:t xml:space="preserve">14,787,150.00</w:t>
            </w:r>
          </w:p>
        </w:tc>
      </w:tr>
      <w:tr>
        <w:tc>
          <w:tcPr>
            <w:gridSpan w:val="5"/>
          </w:tcPr>
          <w:p>
            <w:pPr>
              <w:pStyle w:val="Compact"/>
              <w:jc w:val="left"/>
            </w:pPr>
            <w:r>
              <w:t xml:space="preserve">GRAND TOTAL (ARS)</w:t>
            </w:r>
          </w:p>
        </w:tc>
        <w:tc>
          <w:tcPr/>
          <w:p>
            <w:pPr>
              <w:pStyle w:val="Compact"/>
              <w:jc w:val="left"/>
            </w:pPr>
            <w:r>
              <w:t xml:space="preserve">85,202,150.00</w:t>
            </w:r>
          </w:p>
        </w:tc>
      </w:tr>
    </w:tbl>
    <w:p>
      <w:pPr>
        <w:pStyle w:val="BodyText"/>
      </w:pPr>
      <w:r>
        <w:t xml:space="preserve">Terms and Conditions</w:t>
      </w:r>
    </w:p>
    <w:p>
      <w:pPr>
        <w:pStyle w:val="BodyText"/>
      </w:pPr>
      <w:r>
        <w:rPr>
          <w:bCs/>
          <w:b/>
        </w:rPr>
        <w:t xml:space="preserve">1. Delivery Location:</w:t>
      </w:r>
      <w:r>
        <w:t xml:space="preserve"> </w:t>
      </w:r>
      <w:r>
        <w:t xml:space="preserve">All goods and services under this</w:t>
      </w:r>
      <w:r>
        <w:t xml:space="preserve"> </w:t>
      </w:r>
      <w:r>
        <w:t xml:space="preserve">Purchase Order</w:t>
      </w:r>
      <w:r>
        <w:t xml:space="preserve"> </w:t>
      </w:r>
      <w:r>
        <w:t xml:space="preserve">shall be delivered to the Universidad Nacional de Córdoba, Facultad de Ciencias Médicas, Av. Vélez Sarsfield 298,</w:t>
      </w:r>
      <w:r>
        <w:t xml:space="preserve"> </w:t>
      </w:r>
      <w:r>
        <w:t xml:space="preserve">Argentina Córdoba</w:t>
      </w:r>
      <w:r>
        <w:t xml:space="preserve">, C.P. 5000. The supplier is responsible for all transportation, insurance, and handling costs until the items are received and inspected at the designated laboratory in</w:t>
      </w:r>
      <w:r>
        <w:t xml:space="preserve"> </w:t>
      </w:r>
      <w:r>
        <w:t xml:space="preserve">Argentina Córdoba</w:t>
      </w:r>
      <w:r>
        <w:t xml:space="preserve">.</w:t>
      </w:r>
    </w:p>
    <w:p>
      <w:pPr>
        <w:pStyle w:val="BodyText"/>
      </w:pPr>
      <w:r>
        <w:rPr>
          <w:bCs/>
          <w:b/>
        </w:rPr>
        <w:t xml:space="preserve">2. Delivery Timeline:</w:t>
      </w:r>
      <w:r>
        <w:t xml:space="preserve"> </w:t>
      </w:r>
      <w:r>
        <w:t xml:space="preserve">The supplier shall deliver all equipment within forty-five (45) calendar days from the date of this</w:t>
      </w:r>
      <w:r>
        <w:t xml:space="preserve"> </w:t>
      </w:r>
      <w:r>
        <w:t xml:space="preserve">Purchase Order</w:t>
      </w:r>
      <w:r>
        <w:t xml:space="preserve">. Reagents and consumables shall be delivered in monthly installments aligned with the</w:t>
      </w:r>
      <w:r>
        <w:t xml:space="preserve"> </w:t>
      </w:r>
      <w:r>
        <w:t xml:space="preserve">Medical Researcher</w:t>
      </w:r>
      <w:r>
        <w:t xml:space="preserve">'s experimental schedule. The installation and training service (Item 08) shall be completed within ten (10) business days following equipment delivery.</w:t>
      </w:r>
    </w:p>
    <w:p>
      <w:pPr>
        <w:pStyle w:val="BodyText"/>
      </w:pPr>
      <w:r>
        <w:rPr>
          <w:bCs/>
          <w:b/>
        </w:rPr>
        <w:t xml:space="preserve">3. Payment Terms:</w:t>
      </w:r>
      <w:r>
        <w:t xml:space="preserve"> </w:t>
      </w:r>
      <w:r>
        <w:t xml:space="preserve">Payment shall be made in three (3) installments: 40% upon signing of this</w:t>
      </w:r>
      <w:r>
        <w:t xml:space="preserve"> </w:t>
      </w:r>
      <w:r>
        <w:t xml:space="preserve">Purchase Order</w:t>
      </w:r>
      <w:r>
        <w:t xml:space="preserve">, 40% upon confirmed delivery and acceptance of all equipment at the</w:t>
      </w:r>
      <w:r>
        <w:t xml:space="preserve"> </w:t>
      </w:r>
      <w:r>
        <w:t xml:space="preserve">Argentina Córdoba</w:t>
      </w:r>
      <w:r>
        <w:t xml:space="preserve"> </w:t>
      </w:r>
      <w:r>
        <w:t xml:space="preserve">facility, and 20% upon completion of the installation, calibration, and training service. All payments shall be processed via bank transfer to the supplier's designated account in Argentine Pesos (ARS).</w:t>
      </w:r>
    </w:p>
    <w:p>
      <w:pPr>
        <w:pStyle w:val="BodyText"/>
      </w:pPr>
      <w:r>
        <w:rPr>
          <w:bCs/>
          <w:b/>
        </w:rPr>
        <w:t xml:space="preserve">4. Quality Assurance:</w:t>
      </w:r>
      <w:r>
        <w:t xml:space="preserve"> </w:t>
      </w:r>
      <w:r>
        <w:t xml:space="preserve">All equipment must comply with Argentine ANMAT (Administración Nacional de Medicamentos, Alimentos y Tecnología Médica) regulations and international ISO 13485 standards. The</w:t>
      </w:r>
      <w:r>
        <w:t xml:space="preserve"> </w:t>
      </w:r>
      <w:r>
        <w:t xml:space="preserve">Medical Researcher</w:t>
      </w:r>
      <w:r>
        <w:t xml:space="preserve"> </w:t>
      </w:r>
      <w:r>
        <w:t xml:space="preserve">and the laboratory director shall perform a joint inspection upon delivery. Any item found defective, incomplete, or non-conforming shall be replaced at the supplier's sole expense within fifteen (15) business days.</w:t>
      </w:r>
    </w:p>
    <w:p>
      <w:pPr>
        <w:pStyle w:val="BodyText"/>
      </w:pPr>
      <w:r>
        <w:rPr>
          <w:bCs/>
          <w:b/>
        </w:rPr>
        <w:t xml:space="preserve">5. Warranty:</w:t>
      </w:r>
      <w:r>
        <w:t xml:space="preserve"> </w:t>
      </w:r>
      <w:r>
        <w:t xml:space="preserve">The supplier guarantees a minimum of twenty-four (24) months of comprehensive warranty on all equipment from the date of installation. Reagents and consumables carry a minimum shelf life of twelve (12) months from the date of delivery. The warranty covers parts, labor, and on-site service at the</w:t>
      </w:r>
      <w:r>
        <w:t xml:space="preserve"> </w:t>
      </w:r>
      <w:r>
        <w:t xml:space="preserve">Argentina Córdoba</w:t>
      </w:r>
      <w:r>
        <w:t xml:space="preserve"> </w:t>
      </w:r>
      <w:r>
        <w:t xml:space="preserve">location.</w:t>
      </w:r>
    </w:p>
    <w:p>
      <w:pPr>
        <w:pStyle w:val="BodyText"/>
      </w:pPr>
      <w:r>
        <w:rPr>
          <w:bCs/>
          <w:b/>
        </w:rPr>
        <w:t xml:space="preserve">6. Intellectual Property &amp; Research Compliance:</w:t>
      </w:r>
      <w:r>
        <w:t xml:space="preserve"> </w:t>
      </w:r>
      <w:r>
        <w:t xml:space="preserve">The</w:t>
      </w:r>
      <w:r>
        <w:t xml:space="preserve"> </w:t>
      </w:r>
      <w:r>
        <w:t xml:space="preserve">Medical Researcher</w:t>
      </w:r>
      <w:r>
        <w:t xml:space="preserve"> </w:t>
      </w:r>
      <w:r>
        <w:t xml:space="preserve">shall use all procured materials exclusively for the approved research protocol. The supplier acknowledges that the goods are intended for academic and clinical research purposes within the jurisdiction of</w:t>
      </w:r>
      <w:r>
        <w:t xml:space="preserve"> </w:t>
      </w:r>
      <w:r>
        <w:t xml:space="preserve">Argentina Córdoba</w:t>
      </w:r>
      <w:r>
        <w:t xml:space="preserve"> </w:t>
      </w:r>
      <w:r>
        <w:t xml:space="preserve">and the broader Argentine Republic.</w:t>
      </w:r>
    </w:p>
    <w:p>
      <w:pPr>
        <w:pStyle w:val="BodyText"/>
      </w:pPr>
      <w:r>
        <w:rPr>
          <w:bCs/>
          <w:b/>
        </w:rPr>
        <w:t xml:space="preserve">7. Governing Law:</w:t>
      </w:r>
      <w:r>
        <w:t xml:space="preserve"> </w:t>
      </w:r>
      <w:r>
        <w:t xml:space="preserve">This</w:t>
      </w:r>
      <w:r>
        <w:t xml:space="preserve"> </w:t>
      </w:r>
      <w:r>
        <w:t xml:space="preserve">Purchase Order</w:t>
      </w:r>
      <w:r>
        <w:t xml:space="preserve"> </w:t>
      </w:r>
      <w:r>
        <w:t xml:space="preserve">shall be governed by and interpreted in accordance with the laws of the Argentine Republic, specifically the Civil and Commercial Code (Código Civil y Comercial de la Nación) and applicable provincial regulations of the Province of Córdoba. Any disputes shall be resolved in the competent courts of</w:t>
      </w:r>
      <w:r>
        <w:t xml:space="preserve"> </w:t>
      </w:r>
      <w:r>
        <w:t xml:space="preserve">Argentina Córdoba</w:t>
      </w:r>
      <w:r>
        <w:t xml:space="preserve">.</w:t>
      </w:r>
    </w:p>
    <w:p>
      <w:pPr>
        <w:pStyle w:val="BodyText"/>
      </w:pPr>
      <w:r>
        <w:rPr>
          <w:bCs/>
          <w:b/>
        </w:rPr>
        <w:t xml:space="preserve">8. Force Majeure:</w:t>
      </w:r>
      <w:r>
        <w:t xml:space="preserve"> </w:t>
      </w:r>
      <w:r>
        <w:t xml:space="preserve">Neither party shall be liable for delays caused by events beyond reasonable control, including but not limited to natural disasters, government sanctions, or public health emergencies affecting the region of</w:t>
      </w:r>
      <w:r>
        <w:t xml:space="preserve"> </w:t>
      </w:r>
      <w:r>
        <w:t xml:space="preserve">Argentina Córdoba</w:t>
      </w:r>
      <w:r>
        <w:t xml:space="preserve">.</w:t>
      </w:r>
    </w:p>
    <w:p>
      <w:pPr>
        <w:pStyle w:val="BodyText"/>
      </w:pPr>
      <w:r>
        <w:rPr>
          <w:bCs/>
          <w:b/>
        </w:rPr>
        <w:t xml:space="preserve">9. Cancellation:</w:t>
      </w:r>
      <w:r>
        <w:t xml:space="preserve"> </w:t>
      </w:r>
      <w:r>
        <w:t xml:space="preserve">This</w:t>
      </w:r>
      <w:r>
        <w:t xml:space="preserve"> </w:t>
      </w:r>
      <w:r>
        <w:t xml:space="preserve">Purchase Order</w:t>
      </w:r>
      <w:r>
        <w:t xml:space="preserve"> </w:t>
      </w:r>
      <w:r>
        <w:t xml:space="preserve">may be cancelled by the Buyer with thirty (30) days' written notice prior to the delivery date. In such case, the Buyer shall be liable for any non-recoverable costs already incurred by the Supplier, up to a maximum of 15% of the total order value.</w:t>
      </w:r>
    </w:p>
    <w:p>
      <w:pPr>
        <w:pStyle w:val="BodyText"/>
      </w:pPr>
      <w:r>
        <w:t xml:space="preserve">Authorization &amp;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This document constitutes a legally binding agreement for the procurement of research supplies in support of the</w:t>
      </w:r>
      <w:r>
        <w:t xml:space="preserve"> </w:t>
      </w:r>
      <w:r>
        <w:t xml:space="preserve">Medical Researcher</w:t>
      </w:r>
      <w:r>
        <w:t xml:space="preserve">'s project at the Universidad Nacional de Córdoba,</w:t>
      </w:r>
      <w:r>
        <w:t xml:space="preserve"> </w:t>
      </w:r>
      <w:r>
        <w:t xml:space="preserve">Argentina Córdoba</w:t>
      </w:r>
      <w:r>
        <w:t xml:space="preserve">.</w:t>
      </w:r>
    </w:p>
    <w:p>
      <w:pPr>
        <w:pStyle w:val="BodyText"/>
      </w:pPr>
      <w:r>
        <w:rPr>
          <w:bCs/>
          <w:b/>
        </w:rPr>
        <w:t xml:space="preserve">Dr. María Elena Rodríguez</w:t>
      </w:r>
      <w:r>
        <w:br/>
      </w:r>
      <w:r>
        <w:t xml:space="preserve">Director, Departamento de Investigación Biomédica</w:t>
      </w:r>
      <w:r>
        <w:br/>
      </w:r>
      <w:r>
        <w:t xml:space="preserve">Universidad Nacional de Córdoba</w:t>
      </w:r>
      <w:r>
        <w:br/>
      </w:r>
      <w:r>
        <w:rPr>
          <w:iCs/>
          <w:i/>
        </w:rPr>
        <w:t xml:space="preserve">Buyer – Authorized Signatory</w:t>
      </w:r>
      <w:r>
        <w:br/>
      </w:r>
      <w:r>
        <w:t xml:space="preserve">Date: _______________</w:t>
      </w:r>
    </w:p>
    <w:p>
      <w:pPr>
        <w:pStyle w:val="BodyText"/>
      </w:pPr>
      <w:r>
        <w:rPr>
          <w:bCs/>
          <w:b/>
        </w:rPr>
        <w:t xml:space="preserve">Ing. Carlos Alberto Fernández</w:t>
      </w:r>
      <w:r>
        <w:br/>
      </w:r>
      <w:r>
        <w:t xml:space="preserve">Gerente Comercial</w:t>
      </w:r>
      <w:r>
        <w:br/>
      </w:r>
      <w:r>
        <w:t xml:space="preserve">LabMed Research Supplies S.A.</w:t>
      </w:r>
      <w:r>
        <w:br/>
      </w:r>
      <w:r>
        <w:rPr>
          <w:iCs/>
          <w:i/>
        </w:rPr>
        <w:t xml:space="preserve">Supplier – Authorized Signatory</w:t>
      </w:r>
      <w:r>
        <w:br/>
      </w:r>
      <w:r>
        <w:t xml:space="preserve">Date: _______________</w:t>
      </w:r>
    </w:p>
    <w:p>
      <w:pPr>
        <w:pStyle w:val="BodyText"/>
      </w:pPr>
      <w:r>
        <w:t xml:space="preserve">This</w:t>
      </w:r>
      <w:r>
        <w:t xml:space="preserve"> </w:t>
      </w:r>
      <w:r>
        <w:t xml:space="preserve">Purchase Order</w:t>
      </w:r>
      <w:r>
        <w:t xml:space="preserve"> </w:t>
      </w:r>
      <w:r>
        <w:t xml:space="preserve">(PO No. AR-CBA-2025-04871) was issued in</w:t>
      </w:r>
      <w:r>
        <w:t xml:space="preserve"> </w:t>
      </w:r>
      <w:r>
        <w:t xml:space="preserve">Argentina Córdoba</w:t>
      </w:r>
      <w:r>
        <w:t xml:space="preserve"> </w:t>
      </w:r>
      <w:r>
        <w:t xml:space="preserve">for the exclusive benefit of the</w:t>
      </w:r>
      <w:r>
        <w:t xml:space="preserve"> </w:t>
      </w:r>
      <w:r>
        <w:t xml:space="preserve">Medical Researcher</w:t>
      </w:r>
      <w:r>
        <w:t xml:space="preserve"> </w:t>
      </w:r>
      <w:r>
        <w:t xml:space="preserve">and the Universidad Nacional de Córdoba. Document reference: UNC-FCM-INV-2025-04871. For inquiries, contact the Procurement Office at compras@unc.edu.ar. This document is valid only when bearing the official institutional seal and authorized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Argentina Córdoba</dc:title>
  <dc:creator/>
  <dc:language>en</dc:language>
  <cp:keywords/>
  <dcterms:created xsi:type="dcterms:W3CDTF">2026-10-10T03:18:33Z</dcterms:created>
  <dcterms:modified xsi:type="dcterms:W3CDTF">2026-10-10T03:18:33Z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