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Australia</w:t>
      </w:r>
      <w:r>
        <w:t xml:space="preserve"> </w:t>
      </w:r>
      <w:r>
        <w:t xml:space="preserve">Brisbane</w:t>
      </w:r>
    </w:p>
    <w:bookmarkStart w:id="27" w:name="purchase-order"/>
    <w:p>
      <w:pPr>
        <w:pStyle w:val="Heading1"/>
      </w:pPr>
      <w:r>
        <w:t xml:space="preserve">PURCHASE ORDER</w:t>
      </w:r>
    </w:p>
    <w:p>
      <w:pPr>
        <w:pStyle w:val="FirstParagraph"/>
      </w:pPr>
      <w:r>
        <w:t xml:space="preserve">Medical Researcher Procurement — Australia Brisbane</w:t>
      </w:r>
    </w:p>
    <w:bookmarkStart w:id="20" w:name="buyer-purchasing-entity"/>
    <w:p>
      <w:pPr>
        <w:pStyle w:val="Heading3"/>
      </w:pPr>
      <w:r>
        <w:t xml:space="preserve">Buyer (Purchasing Entity)</w:t>
      </w:r>
    </w:p>
    <w:p>
      <w:pPr>
        <w:pStyle w:val="FirstParagraph"/>
      </w:pPr>
      <w:r>
        <w:rPr>
          <w:bCs/>
          <w:b/>
        </w:rPr>
        <w:t xml:space="preserve">Brisbane Institute of Medical Sciences (BIMS)</w:t>
      </w:r>
      <w:r>
        <w:br/>
      </w:r>
      <w:r>
        <w:t xml:space="preserve">Level 12, 400 George Street</w:t>
      </w:r>
      <w:r>
        <w:br/>
      </w:r>
      <w:r>
        <w:t xml:space="preserve">Brisbane, Queensland 4000</w:t>
      </w:r>
      <w:r>
        <w:br/>
      </w:r>
      <w:r>
        <w:t xml:space="preserve">Australia Brisbane</w:t>
      </w:r>
      <w:r>
        <w:br/>
      </w:r>
      <w:r>
        <w:t xml:space="preserve">ABN: 52 004 887 612</w:t>
      </w:r>
      <w:r>
        <w:br/>
      </w:r>
      <w:r>
        <w:t xml:space="preserve">Contact: procurement@bims.edu.au</w:t>
      </w:r>
      <w:r>
        <w:br/>
      </w:r>
      <w:r>
        <w:t xml:space="preserve">Phone: +61 7 3842 1100</w:t>
      </w:r>
    </w:p>
    <w:bookmarkEnd w:id="20"/>
    <w:bookmarkStart w:id="21" w:name="seller-supplier"/>
    <w:p>
      <w:pPr>
        <w:pStyle w:val="Heading3"/>
      </w:pPr>
      <w:r>
        <w:t xml:space="preserve">Seller (Supplier)</w:t>
      </w:r>
    </w:p>
    <w:p>
      <w:pPr>
        <w:pStyle w:val="FirstParagraph"/>
      </w:pPr>
      <w:r>
        <w:rPr>
          <w:bCs/>
          <w:b/>
        </w:rPr>
        <w:t xml:space="preserve">LabTech Scientific Supplies Pty Ltd</w:t>
      </w:r>
      <w:r>
        <w:br/>
      </w:r>
      <w:r>
        <w:t xml:space="preserve">Unit 7, 15 Anzac Parade</w:t>
      </w:r>
      <w:r>
        <w:br/>
      </w:r>
      <w:r>
        <w:t xml:space="preserve">Brisbane, Queensland 4000</w:t>
      </w:r>
      <w:r>
        <w:br/>
      </w:r>
      <w:r>
        <w:t xml:space="preserve">Australia Brisbane</w:t>
      </w:r>
      <w:r>
        <w:br/>
      </w:r>
      <w:r>
        <w:t xml:space="preserve">ABN: 84 112 334 556</w:t>
      </w:r>
      <w:r>
        <w:br/>
      </w:r>
      <w:r>
        <w:t xml:space="preserve">Contact: sales@labtechsci.com.au</w:t>
      </w:r>
      <w:r>
        <w:br/>
      </w:r>
      <w:r>
        <w:t xml:space="preserve">Phone: +61 7 3255 8890</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No.:</w:t>
            </w:r>
          </w:p>
        </w:tc>
        <w:tc>
          <w:tcPr/>
          <w:p>
            <w:pPr>
              <w:pStyle w:val="Compact"/>
              <w:jc w:val="left"/>
            </w:pPr>
            <w:r>
              <w:t xml:space="preserve">BIMS-PO-2025-04871</w:t>
            </w:r>
          </w:p>
        </w:tc>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05 July 2025</w:t>
            </w:r>
          </w:p>
        </w:tc>
        <w:tc>
          <w:tcPr/>
          <w:p>
            <w:pPr>
              <w:pStyle w:val="Compact"/>
              <w:jc w:val="left"/>
            </w:pPr>
            <w:r>
              <w:rPr>
                <w:bCs/>
                <w:b/>
              </w:rPr>
              <w:t xml:space="preserve">Payment Terms:</w:t>
            </w:r>
          </w:p>
        </w:tc>
        <w:tc>
          <w:tcPr/>
          <w:p>
            <w:pPr>
              <w:pStyle w:val="Compact"/>
              <w:jc w:val="left"/>
            </w:pPr>
            <w:r>
              <w:t xml:space="preserve">Net 30 Days from Invoice</w:t>
            </w:r>
          </w:p>
        </w:tc>
      </w:tr>
      <w:tr>
        <w:tc>
          <w:tcPr/>
          <w:p>
            <w:pPr>
              <w:pStyle w:val="Compact"/>
              <w:jc w:val="left"/>
            </w:pPr>
            <w:r>
              <w:rPr>
                <w:bCs/>
                <w:b/>
              </w:rPr>
              <w:t xml:space="preserve">Project Reference:</w:t>
            </w:r>
          </w:p>
        </w:tc>
        <w:tc>
          <w:tcPr/>
          <w:p>
            <w:pPr>
              <w:pStyle w:val="Compact"/>
              <w:jc w:val="left"/>
            </w:pPr>
            <w:r>
              <w:t xml:space="preserve">MR-2025-NeuroGenetics-Phase II</w:t>
            </w:r>
          </w:p>
        </w:tc>
        <w:tc>
          <w:tcPr/>
          <w:p>
            <w:pPr>
              <w:pStyle w:val="Compact"/>
              <w:jc w:val="left"/>
            </w:pPr>
            <w:r>
              <w:rPr>
                <w:bCs/>
                <w:b/>
              </w:rPr>
              <w:t xml:space="preserve">Delivery Address:</w:t>
            </w:r>
          </w:p>
        </w:tc>
        <w:tc>
          <w:tcPr/>
          <w:p>
            <w:pPr>
              <w:pStyle w:val="Compact"/>
              <w:jc w:val="left"/>
            </w:pPr>
            <w:r>
              <w:t xml:space="preserve">BIMS Laboratory Wing C, Brisbane, QLD 4000, Australia Brisbane</w:t>
            </w:r>
          </w:p>
        </w:tc>
      </w:tr>
      <w:tr>
        <w:tc>
          <w:tcPr/>
          <w:p>
            <w:pPr>
              <w:pStyle w:val="Compact"/>
              <w:jc w:val="left"/>
            </w:pPr>
            <w:r>
              <w:rPr>
                <w:bCs/>
                <w:b/>
              </w:rPr>
              <w:t xml:space="preserve">Prepared By:</w:t>
            </w:r>
          </w:p>
        </w:tc>
        <w:tc>
          <w:tcPr/>
          <w:p>
            <w:pPr>
              <w:pStyle w:val="Compact"/>
              <w:jc w:val="left"/>
            </w:pPr>
            <w:r>
              <w:t xml:space="preserve">Dr. Eleanor Whitfield, Senior Medical Researcher</w:t>
            </w:r>
          </w:p>
        </w:tc>
        <w:tc>
          <w:tcPr/>
          <w:p>
            <w:pPr>
              <w:pStyle w:val="Compact"/>
              <w:jc w:val="left"/>
            </w:pPr>
            <w:r>
              <w:rPr>
                <w:bCs/>
                <w:b/>
              </w:rPr>
              <w:t xml:space="preserve">Approved By:</w:t>
            </w:r>
          </w:p>
        </w:tc>
        <w:tc>
          <w:tcPr/>
          <w:p>
            <w:pPr>
              <w:pStyle w:val="Compact"/>
              <w:jc w:val="left"/>
            </w:pPr>
            <w:r>
              <w:t xml:space="preserve">Prof. James Okafor, Director of Research</w:t>
            </w:r>
          </w:p>
        </w:tc>
      </w:tr>
    </w:tbl>
    <w:bookmarkStart w:id="22" w:name="purpose-and-scope-of-this-purchase-order"/>
    <w:p>
      <w:pPr>
        <w:pStyle w:val="Heading2"/>
      </w:pPr>
      <w:r>
        <w:t xml:space="preserve">1. Purpose and Scope of This Purchase Order</w:t>
      </w:r>
    </w:p>
    <w:p>
      <w:pPr>
        <w:pStyle w:val="FirstParagraph"/>
      </w:pPr>
      <w:r>
        <w:t xml:space="preserve">This Purchase Order is issued by the Brisbane Institute of Medical Sciences to procure specialised laboratory equipment, reagents, and consumables required for the ongoing Phase II neurogenetics research programme led by Dr. Eleanor Whitfield, Senior Medical Researcher. The Medical Researcher has submitted a detailed equipment and materials specification in accordance with the BIMS Research Procurement Policy (2024 Revision). All items listed in this Purchase Order are essential to the continuation of the Medical Researcher's work on hereditary neurological disorders and are to be delivered to the designated laboratory facility in Australia Brisbane no later than the required delivery date stated above.</w:t>
      </w:r>
    </w:p>
    <w:bookmarkEnd w:id="22"/>
    <w:bookmarkStart w:id="23" w:name="line-items"/>
    <w:p>
      <w:pPr>
        <w:pStyle w:val="Heading2"/>
      </w:pPr>
      <w:r>
        <w:t xml:space="preserve">2.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01</w:t>
            </w:r>
          </w:p>
        </w:tc>
        <w:tc>
          <w:tcPr/>
          <w:p>
            <w:pPr>
              <w:pStyle w:val="Compact"/>
              <w:jc w:val="left"/>
            </w:pPr>
            <w:r>
              <w:t xml:space="preserve">Real-Time PCR Thermal Cycler (Applied Biosystems 7500 Fast) — for gene expression analysis by Medical Researcher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High-Resolution Confocal Microscope (Zeiss LSM 980) with fluorescence module</w:t>
            </w:r>
          </w:p>
        </w:tc>
        <w:tc>
          <w:tcPr/>
          <w:p>
            <w:pPr>
              <w:pStyle w:val="Compact"/>
              <w:jc w:val="left"/>
            </w:pPr>
            <w:r>
              <w:t xml:space="preserve">1</w:t>
            </w:r>
          </w:p>
        </w:tc>
        <w:tc>
          <w:tcPr/>
          <w:p>
            <w:pPr>
              <w:pStyle w:val="Compact"/>
              <w:jc w:val="left"/>
            </w:pPr>
            <w:r>
              <w:t xml:space="preserve">Unit</w:t>
            </w:r>
          </w:p>
        </w:tc>
        <w:tc>
          <w:tcPr/>
          <w:p>
            <w:pPr>
              <w:pStyle w:val="Compact"/>
              <w:jc w:val="left"/>
            </w:pPr>
            <w:r>
              <w:t xml:space="preserve">142,000.00</w:t>
            </w:r>
          </w:p>
        </w:tc>
        <w:tc>
          <w:tcPr/>
          <w:p>
            <w:pPr>
              <w:pStyle w:val="Compact"/>
              <w:jc w:val="left"/>
            </w:pPr>
            <w:r>
              <w:t xml:space="preserve">142,000.00</w:t>
            </w:r>
          </w:p>
        </w:tc>
      </w:tr>
      <w:tr>
        <w:tc>
          <w:tcPr/>
          <w:p>
            <w:pPr>
              <w:pStyle w:val="Compact"/>
              <w:jc w:val="left"/>
            </w:pPr>
            <w:r>
              <w:t xml:space="preserve">03</w:t>
            </w:r>
          </w:p>
        </w:tc>
        <w:tc>
          <w:tcPr/>
          <w:p>
            <w:pPr>
              <w:pStyle w:val="Compact"/>
              <w:jc w:val="left"/>
            </w:pPr>
            <w:r>
              <w:t xml:space="preserve">Next-Generation Sequencing Kit (Illumina NovaSeq 6000 S4, 300 cycles)</w:t>
            </w:r>
          </w:p>
        </w:tc>
        <w:tc>
          <w:tcPr/>
          <w:p>
            <w:pPr>
              <w:pStyle w:val="Compact"/>
              <w:jc w:val="left"/>
            </w:pPr>
            <w:r>
              <w:t xml:space="preserve">4</w:t>
            </w:r>
          </w:p>
        </w:tc>
        <w:tc>
          <w:tcPr/>
          <w:p>
            <w:pPr>
              <w:pStyle w:val="Compact"/>
              <w:jc w:val="left"/>
            </w:pPr>
            <w:r>
              <w:t xml:space="preserve">Kit</w:t>
            </w:r>
          </w:p>
        </w:tc>
        <w:tc>
          <w:tcPr/>
          <w:p>
            <w:pPr>
              <w:pStyle w:val="Compact"/>
              <w:jc w:val="left"/>
            </w:pPr>
            <w:r>
              <w:t xml:space="preserve">3,250.00</w:t>
            </w:r>
          </w:p>
        </w:tc>
        <w:tc>
          <w:tcPr/>
          <w:p>
            <w:pPr>
              <w:pStyle w:val="Compact"/>
              <w:jc w:val="left"/>
            </w:pPr>
            <w:r>
              <w:t xml:space="preserve">13,000.00</w:t>
            </w:r>
          </w:p>
        </w:tc>
      </w:tr>
      <w:tr>
        <w:tc>
          <w:tcPr/>
          <w:p>
            <w:pPr>
              <w:pStyle w:val="Compact"/>
              <w:jc w:val="left"/>
            </w:pPr>
            <w:r>
              <w:t xml:space="preserve">04</w:t>
            </w:r>
          </w:p>
        </w:tc>
        <w:tc>
          <w:tcPr/>
          <w:p>
            <w:pPr>
              <w:pStyle w:val="Compact"/>
              <w:jc w:val="left"/>
            </w:pPr>
            <w:r>
              <w:t xml:space="preserve">Cell Culture Media (DMEM High Glucose, 500 mL) — bulk order for Medical Researcher lab</w:t>
            </w:r>
          </w:p>
        </w:tc>
        <w:tc>
          <w:tcPr/>
          <w:p>
            <w:pPr>
              <w:pStyle w:val="Compact"/>
              <w:jc w:val="left"/>
            </w:pPr>
            <w:r>
              <w:t xml:space="preserve">20</w:t>
            </w:r>
          </w:p>
        </w:tc>
        <w:tc>
          <w:tcPr/>
          <w:p>
            <w:pPr>
              <w:pStyle w:val="Compact"/>
              <w:jc w:val="left"/>
            </w:pPr>
            <w:r>
              <w:t xml:space="preserve">Bottle</w:t>
            </w:r>
          </w:p>
        </w:tc>
        <w:tc>
          <w:tcPr/>
          <w:p>
            <w:pPr>
              <w:pStyle w:val="Compact"/>
              <w:jc w:val="left"/>
            </w:pPr>
            <w:r>
              <w:t xml:space="preserve">89.50</w:t>
            </w:r>
          </w:p>
        </w:tc>
        <w:tc>
          <w:tcPr/>
          <w:p>
            <w:pPr>
              <w:pStyle w:val="Compact"/>
              <w:jc w:val="left"/>
            </w:pPr>
            <w:r>
              <w:t xml:space="preserve">1,790.00</w:t>
            </w:r>
          </w:p>
        </w:tc>
      </w:tr>
      <w:tr>
        <w:tc>
          <w:tcPr/>
          <w:p>
            <w:pPr>
              <w:pStyle w:val="Compact"/>
              <w:jc w:val="left"/>
            </w:pPr>
            <w:r>
              <w:t xml:space="preserve">05</w:t>
            </w:r>
          </w:p>
        </w:tc>
        <w:tc>
          <w:tcPr/>
          <w:p>
            <w:pPr>
              <w:pStyle w:val="Compact"/>
              <w:jc w:val="left"/>
            </w:pPr>
            <w:r>
              <w:t xml:space="preserve">Antibody Panel: Neurofilament Light Chain (NfL) ELISA Kit</w:t>
            </w:r>
          </w:p>
        </w:tc>
        <w:tc>
          <w:tcPr/>
          <w:p>
            <w:pPr>
              <w:pStyle w:val="Compact"/>
              <w:jc w:val="left"/>
            </w:pPr>
            <w:r>
              <w:t xml:space="preserve">10</w:t>
            </w:r>
          </w:p>
        </w:tc>
        <w:tc>
          <w:tcPr/>
          <w:p>
            <w:pPr>
              <w:pStyle w:val="Compact"/>
              <w:jc w:val="left"/>
            </w:pPr>
            <w:r>
              <w:t xml:space="preserve">Kit</w:t>
            </w:r>
          </w:p>
        </w:tc>
        <w:tc>
          <w:tcPr/>
          <w:p>
            <w:pPr>
              <w:pStyle w:val="Compact"/>
              <w:jc w:val="left"/>
            </w:pPr>
            <w:r>
              <w:t xml:space="preserve">1,120.00</w:t>
            </w:r>
          </w:p>
        </w:tc>
        <w:tc>
          <w:tcPr/>
          <w:p>
            <w:pPr>
              <w:pStyle w:val="Compact"/>
              <w:jc w:val="left"/>
            </w:pPr>
            <w:r>
              <w:t xml:space="preserve">11,200.00</w:t>
            </w:r>
          </w:p>
        </w:tc>
      </w:tr>
      <w:tr>
        <w:tc>
          <w:tcPr/>
          <w:p>
            <w:pPr>
              <w:pStyle w:val="Compact"/>
              <w:jc w:val="left"/>
            </w:pPr>
            <w:r>
              <w:t xml:space="preserve">06</w:t>
            </w:r>
          </w:p>
        </w:tc>
        <w:tc>
          <w:tcPr/>
          <w:p>
            <w:pPr>
              <w:pStyle w:val="Compact"/>
              <w:jc w:val="left"/>
            </w:pPr>
            <w:r>
              <w:t xml:space="preserve">Cryogenic Storage Vials (Nunc 2 mL, 1,000-pack) for sample preservation</w:t>
            </w:r>
          </w:p>
        </w:tc>
        <w:tc>
          <w:tcPr/>
          <w:p>
            <w:pPr>
              <w:pStyle w:val="Compact"/>
              <w:jc w:val="left"/>
            </w:pPr>
            <w:r>
              <w:t xml:space="preserve">5</w:t>
            </w:r>
          </w:p>
        </w:tc>
        <w:tc>
          <w:tcPr/>
          <w:p>
            <w:pPr>
              <w:pStyle w:val="Compact"/>
              <w:jc w:val="left"/>
            </w:pPr>
            <w:r>
              <w:t xml:space="preserve">Box</w:t>
            </w:r>
          </w:p>
        </w:tc>
        <w:tc>
          <w:tcPr/>
          <w:p>
            <w:pPr>
              <w:pStyle w:val="Compact"/>
              <w:jc w:val="left"/>
            </w:pPr>
            <w:r>
              <w:t xml:space="preserve">410.00</w:t>
            </w:r>
          </w:p>
        </w:tc>
        <w:tc>
          <w:tcPr/>
          <w:p>
            <w:pPr>
              <w:pStyle w:val="Compact"/>
              <w:jc w:val="left"/>
            </w:pPr>
            <w:r>
              <w:t xml:space="preserve">2,050.00</w:t>
            </w:r>
          </w:p>
        </w:tc>
      </w:tr>
      <w:tr>
        <w:tc>
          <w:tcPr/>
          <w:p>
            <w:pPr>
              <w:pStyle w:val="Compact"/>
              <w:jc w:val="left"/>
            </w:pPr>
            <w:r>
              <w:t xml:space="preserve">07</w:t>
            </w:r>
          </w:p>
        </w:tc>
        <w:tc>
          <w:tcPr/>
          <w:p>
            <w:pPr>
              <w:pStyle w:val="Compact"/>
              <w:jc w:val="left"/>
            </w:pPr>
            <w:r>
              <w:t xml:space="preserve">Biological Safety Cabinet Class II A2 (Thermo Scientific) — replacement unit</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08</w:t>
            </w:r>
          </w:p>
        </w:tc>
        <w:tc>
          <w:tcPr/>
          <w:p>
            <w:pPr>
              <w:pStyle w:val="Compact"/>
              <w:jc w:val="left"/>
            </w:pPr>
            <w:r>
              <w:t xml:space="preserve">Centrifuge (Eppendorf 5810 R, 24 × 1.5/2.0 mL rotor)</w:t>
            </w:r>
          </w:p>
        </w:tc>
        <w:tc>
          <w:tcPr/>
          <w:p>
            <w:pPr>
              <w:pStyle w:val="Compact"/>
              <w:jc w:val="left"/>
            </w:pPr>
            <w:r>
              <w:t xml:space="preserve">2</w:t>
            </w:r>
          </w:p>
        </w:tc>
        <w:tc>
          <w:tcPr/>
          <w:p>
            <w:pPr>
              <w:pStyle w:val="Compact"/>
              <w:jc w:val="left"/>
            </w:pPr>
            <w:r>
              <w:t xml:space="preserve">Unit</w:t>
            </w:r>
          </w:p>
        </w:tc>
        <w:tc>
          <w:tcPr/>
          <w:p>
            <w:pPr>
              <w:pStyle w:val="Compact"/>
              <w:jc w:val="left"/>
            </w:pPr>
            <w:r>
              <w:t xml:space="preserve">4,650.00</w:t>
            </w:r>
          </w:p>
        </w:tc>
        <w:tc>
          <w:tcPr/>
          <w:p>
            <w:pPr>
              <w:pStyle w:val="Compact"/>
              <w:jc w:val="left"/>
            </w:pPr>
            <w:r>
              <w:t xml:space="preserve">9,300.00</w:t>
            </w:r>
          </w:p>
        </w:tc>
      </w:tr>
      <w:tr>
        <w:tc>
          <w:tcPr/>
          <w:p>
            <w:pPr>
              <w:pStyle w:val="Compact"/>
              <w:jc w:val="left"/>
            </w:pPr>
            <w:r>
              <w:t xml:space="preserve">09</w:t>
            </w:r>
          </w:p>
        </w:tc>
        <w:tc>
          <w:tcPr/>
          <w:p>
            <w:pPr>
              <w:pStyle w:val="Compact"/>
              <w:jc w:val="left"/>
            </w:pPr>
            <w:r>
              <w:t xml:space="preserve">Lab Notebook &amp; Data Management Software Licence (1-year, 5 users)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10</w:t>
            </w:r>
          </w:p>
        </w:tc>
        <w:tc>
          <w:tcPr/>
          <w:p>
            <w:pPr>
              <w:pStyle w:val="Compact"/>
              <w:jc w:val="left"/>
            </w:pPr>
            <w:r>
              <w:t xml:space="preserve">Personal Protective Equipment (PPE) Bundle — nitrile gloves, lab coats, safety goggles (annual supply for Medical Researcher team of 6)</w:t>
            </w:r>
          </w:p>
        </w:tc>
        <w:tc>
          <w:tcPr/>
          <w:p>
            <w:pPr>
              <w:pStyle w:val="Compact"/>
              <w:jc w:val="left"/>
            </w:pPr>
            <w:r>
              <w:t xml:space="preserve">6</w:t>
            </w:r>
          </w:p>
        </w:tc>
        <w:tc>
          <w:tcPr/>
          <w:p>
            <w:pPr>
              <w:pStyle w:val="Compact"/>
              <w:jc w:val="left"/>
            </w:pPr>
            <w:r>
              <w:t xml:space="preserve">Set</w:t>
            </w:r>
          </w:p>
        </w:tc>
        <w:tc>
          <w:tcPr/>
          <w:p>
            <w:pPr>
              <w:pStyle w:val="Compact"/>
              <w:jc w:val="left"/>
            </w:pPr>
            <w:r>
              <w:t xml:space="preserve">320.00</w:t>
            </w:r>
          </w:p>
        </w:tc>
        <w:tc>
          <w:tcPr/>
          <w:p>
            <w:pPr>
              <w:pStyle w:val="Compact"/>
              <w:jc w:val="left"/>
            </w:pPr>
            <w:r>
              <w:t xml:space="preserve">1,920.00</w:t>
            </w:r>
          </w:p>
        </w:tc>
      </w:tr>
      <w:tr>
        <w:tc>
          <w:tcPr>
            <w:gridSpan w:val="5"/>
          </w:tcPr>
          <w:p>
            <w:pPr>
              <w:pStyle w:val="Compact"/>
              <w:jc w:val="right"/>
            </w:pPr>
            <w:r>
              <w:t xml:space="preserve">Subtotal (AUD)</w:t>
            </w:r>
          </w:p>
        </w:tc>
        <w:tc>
          <w:tcPr/>
          <w:p>
            <w:pPr>
              <w:pStyle w:val="Compact"/>
              <w:jc w:val="left"/>
            </w:pPr>
            <w:r>
              <w:t xml:space="preserve">214,960.00</w:t>
            </w:r>
          </w:p>
        </w:tc>
      </w:tr>
      <w:tr>
        <w:tc>
          <w:tcPr>
            <w:gridSpan w:val="5"/>
          </w:tcPr>
          <w:p>
            <w:pPr>
              <w:pStyle w:val="Compact"/>
              <w:jc w:val="right"/>
            </w:pPr>
            <w:r>
              <w:t xml:space="preserve">GST (10%)</w:t>
            </w:r>
          </w:p>
        </w:tc>
        <w:tc>
          <w:tcPr/>
          <w:p>
            <w:pPr>
              <w:pStyle w:val="Compact"/>
              <w:jc w:val="left"/>
            </w:pPr>
            <w:r>
              <w:t xml:space="preserve">21,496.00</w:t>
            </w:r>
          </w:p>
        </w:tc>
      </w:tr>
      <w:tr>
        <w:tc>
          <w:tcPr>
            <w:gridSpan w:val="5"/>
          </w:tcPr>
          <w:p>
            <w:pPr>
              <w:pStyle w:val="Compact"/>
              <w:jc w:val="right"/>
            </w:pPr>
            <w:r>
              <w:t xml:space="preserve">Freight &amp; Installation (Brisbane, QLD)</w:t>
            </w:r>
          </w:p>
        </w:tc>
        <w:tc>
          <w:tcPr/>
          <w:p>
            <w:pPr>
              <w:pStyle w:val="Compact"/>
              <w:jc w:val="left"/>
            </w:pPr>
            <w:r>
              <w:t xml:space="preserve">3,200.00</w:t>
            </w:r>
          </w:p>
        </w:tc>
      </w:tr>
      <w:tr>
        <w:tc>
          <w:tcPr>
            <w:gridSpan w:val="5"/>
          </w:tcPr>
          <w:p>
            <w:pPr>
              <w:pStyle w:val="Compact"/>
              <w:jc w:val="right"/>
            </w:pPr>
            <w:r>
              <w:t xml:space="preserve">TOTAL AMOUNT DUE (AUD)</w:t>
            </w:r>
          </w:p>
        </w:tc>
        <w:tc>
          <w:tcPr/>
          <w:p>
            <w:pPr>
              <w:pStyle w:val="Compact"/>
              <w:jc w:val="left"/>
            </w:pPr>
            <w:r>
              <w:t xml:space="preserve">239,656.00</w:t>
            </w:r>
          </w:p>
        </w:tc>
      </w:tr>
    </w:tbl>
    <w:bookmarkEnd w:id="23"/>
    <w:bookmarkStart w:id="24" w:name="delivery-and-installation-requirements"/>
    <w:p>
      <w:pPr>
        <w:pStyle w:val="Heading2"/>
      </w:pPr>
      <w:r>
        <w:t xml:space="preserve">3. Delivery and Installation Requirements</w:t>
      </w:r>
    </w:p>
    <w:p>
      <w:pPr>
        <w:pStyle w:val="FirstParagraph"/>
      </w:pPr>
      <w:r>
        <w:t xml:space="preserve">All items specified in this Purchase Order must be delivered to the Brisbane Institute of Medical Sciences, Laboratory Wing C, 400 George Street, Brisbane, Queensland 4000, Australia Brisbane. The supplier is responsible for freight, insurance, and on-site installation of all capital equipment (Items 01, 02, 07, and 08). Installation must be completed and verified by the Medical Researcher's designated laboratory technician prior to the required delivery date. The supplier shall provide a written installation certificate and a 24-month warranty for all capital equipment. Consumables and reagents (Items 03 through 06 and 10) must be delivered in their original sealed packaging with unexpired shelf life of no less than 12 months from the date of delivery.</w:t>
      </w:r>
    </w:p>
    <w:bookmarkEnd w:id="24"/>
    <w:bookmarkStart w:id="25"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This Purchase Order is governed by the laws of the State of Queensland, Australia, and the Commonwealth of Australia. Any disputes arising from this Purchase Order shall be resolved in the courts of Australia Brisbane.</w:t>
      </w:r>
    </w:p>
    <w:p>
      <w:pPr>
        <w:numPr>
          <w:ilvl w:val="0"/>
          <w:numId w:val="1001"/>
        </w:numPr>
        <w:pStyle w:val="Compact"/>
      </w:pPr>
      <w:r>
        <w:rPr>
          <w:bCs/>
          <w:b/>
        </w:rPr>
        <w:t xml:space="preserve">4.2</w:t>
      </w:r>
      <w:r>
        <w:t xml:space="preserve"> </w:t>
      </w:r>
      <w:r>
        <w:t xml:space="preserve">The supplier warrants that all goods supplied under this Purchase Order shall be new, unused, of merchantable quality, and fit for the purpose of medical research as specified by the Medical Researcher.</w:t>
      </w:r>
    </w:p>
    <w:p>
      <w:pPr>
        <w:numPr>
          <w:ilvl w:val="0"/>
          <w:numId w:val="1001"/>
        </w:numPr>
        <w:pStyle w:val="Compact"/>
      </w:pPr>
      <w:r>
        <w:rPr>
          <w:bCs/>
          <w:b/>
        </w:rPr>
        <w:t xml:space="preserve">4.3</w:t>
      </w:r>
      <w:r>
        <w:t xml:space="preserve"> </w:t>
      </w:r>
      <w:r>
        <w:t xml:space="preserve">Payment shall be made by electronic funds transfer (EFT) to the supplier's nominated bank account within thirty (30) calendar days of receipt of a valid tax invoice, subject to satisfactory delivery and acceptance of all goods.</w:t>
      </w:r>
    </w:p>
    <w:p>
      <w:pPr>
        <w:numPr>
          <w:ilvl w:val="0"/>
          <w:numId w:val="1001"/>
        </w:numPr>
        <w:pStyle w:val="Compact"/>
      </w:pPr>
      <w:r>
        <w:rPr>
          <w:bCs/>
          <w:b/>
        </w:rPr>
        <w:t xml:space="preserve">4.4</w:t>
      </w:r>
      <w:r>
        <w:t xml:space="preserve"> </w:t>
      </w:r>
      <w:r>
        <w:t xml:space="preserve">The Medical Researcher or her authorised delegate reserves the right to inspect all delivered goods upon arrival. Any goods found to be damaged, defective, or non-conforming to the specifications in this Purchase Order shall be rejected and replaced at the supplier's sole cost within ten (10) business days.</w:t>
      </w:r>
    </w:p>
    <w:p>
      <w:pPr>
        <w:numPr>
          <w:ilvl w:val="0"/>
          <w:numId w:val="1001"/>
        </w:numPr>
        <w:pStyle w:val="Compact"/>
      </w:pPr>
      <w:r>
        <w:rPr>
          <w:bCs/>
          <w:b/>
        </w:rPr>
        <w:t xml:space="preserve">4.5</w:t>
      </w:r>
      <w:r>
        <w:t xml:space="preserve"> </w:t>
      </w:r>
      <w:r>
        <w:t xml:space="preserve">The supplier shall comply with all applicable Australian Standards (AS/NZS), the Australian Therapeutic Goods Administration (TGA) regulations where applicable, and the BIMS Occupational Health and Safety Policy.</w:t>
      </w:r>
    </w:p>
    <w:p>
      <w:pPr>
        <w:numPr>
          <w:ilvl w:val="0"/>
          <w:numId w:val="1001"/>
        </w:numPr>
        <w:pStyle w:val="Compact"/>
      </w:pPr>
      <w:r>
        <w:rPr>
          <w:bCs/>
          <w:b/>
        </w:rPr>
        <w:t xml:space="preserve">4.6</w:t>
      </w:r>
      <w:r>
        <w:t xml:space="preserve"> </w:t>
      </w:r>
      <w:r>
        <w:t xml:space="preserve">This Purchase Order does not constitute a guarantee of research outcomes. The Medical Researcher assumes full scientific responsibility for the use of the procured materials in accordance with BIMS ethics approval (HREC Ref: 2025/0034).</w:t>
      </w:r>
    </w:p>
    <w:p>
      <w:pPr>
        <w:numPr>
          <w:ilvl w:val="0"/>
          <w:numId w:val="1001"/>
        </w:numPr>
        <w:pStyle w:val="Compact"/>
      </w:pPr>
      <w:r>
        <w:rPr>
          <w:bCs/>
          <w:b/>
        </w:rPr>
        <w:t xml:space="preserve">4.7</w:t>
      </w:r>
      <w:r>
        <w:t xml:space="preserve"> </w:t>
      </w:r>
      <w:r>
        <w:t xml:space="preserve">The supplier shall not subcontract any portion of the delivery or installation without prior written consent from the BIMS Procurement Office, Australia Brisbane.</w:t>
      </w:r>
    </w:p>
    <w:p>
      <w:pPr>
        <w:numPr>
          <w:ilvl w:val="0"/>
          <w:numId w:val="1001"/>
        </w:numPr>
        <w:pStyle w:val="Compact"/>
      </w:pPr>
      <w:r>
        <w:rPr>
          <w:bCs/>
          <w:b/>
        </w:rPr>
        <w:t xml:space="preserve">4.8</w:t>
      </w:r>
      <w:r>
        <w:t xml:space="preserve"> </w:t>
      </w:r>
      <w:r>
        <w:t xml:space="preserve">Late delivery beyond the required delivery date shall incur a penalty of 0.5% of the total Purchase Order value per calendar day, up to a maximum of 5%.</w:t>
      </w:r>
    </w:p>
    <w:bookmarkEnd w:id="25"/>
    <w:bookmarkStart w:id="26" w:name="authorisation-and-signatures"/>
    <w:p>
      <w:pPr>
        <w:pStyle w:val="Heading2"/>
      </w:pPr>
      <w:r>
        <w:t xml:space="preserve">5. Authorisation and Signatures</w:t>
      </w:r>
    </w:p>
    <w:p>
      <w:pPr>
        <w:pStyle w:val="FirstParagraph"/>
      </w:pPr>
      <w:r>
        <w:rPr>
          <w:bCs/>
          <w:b/>
        </w:rPr>
        <w:t xml:space="preserve">Note:</w:t>
      </w:r>
      <w:r>
        <w:t xml:space="preserve"> </w:t>
      </w:r>
      <w:r>
        <w:t xml:space="preserve">This Purchase Order has been reviewed and approved in accordance with the BIMS Research Procurement Policy. The Medical Researcher, Dr. Eleanor Whitfield, has confirmed that all items listed are necessary for the approved research project MR-2025-NeuroGenetics-Phase II and that funding has been allocated from the Queensland Government Medical Research Grant (QGMRG-2025-118).</w:t>
      </w:r>
    </w:p>
    <w:p>
      <w:pPr>
        <w:pStyle w:val="BodyText"/>
      </w:pPr>
      <w:r>
        <w:rPr>
          <w:bCs/>
          <w:b/>
        </w:rPr>
        <w:t xml:space="preserve">Prepared and Authorised By:</w:t>
      </w:r>
    </w:p>
    <w:p>
      <w:pPr>
        <w:pStyle w:val="BodyText"/>
      </w:pPr>
      <w:r>
        <w:t xml:space="preserve">Dr. Eleanor Whitfield</w:t>
      </w:r>
      <w:r>
        <w:br/>
      </w:r>
      <w:r>
        <w:t xml:space="preserve">Senior Medical Researcher</w:t>
      </w:r>
      <w:r>
        <w:br/>
      </w:r>
      <w:r>
        <w:t xml:space="preserve">Brisbane Institute of Medical Sciences</w:t>
      </w:r>
      <w:r>
        <w:br/>
      </w:r>
      <w:r>
        <w:t xml:space="preserve">Australia Brisbane</w:t>
      </w:r>
    </w:p>
    <w:p>
      <w:pPr>
        <w:pStyle w:val="BodyText"/>
      </w:pPr>
      <w:r>
        <w:t xml:space="preserve">Signature: _________________________</w:t>
      </w:r>
      <w:r>
        <w:br/>
      </w:r>
      <w:r>
        <w:t xml:space="preserve">Date: 14 June 2025</w:t>
      </w:r>
    </w:p>
    <w:p>
      <w:pPr>
        <w:pStyle w:val="BodyText"/>
      </w:pPr>
      <w:r>
        <w:rPr>
          <w:bCs/>
          <w:b/>
        </w:rPr>
        <w:t xml:space="preserve">Approved By (Institutional):</w:t>
      </w:r>
    </w:p>
    <w:p>
      <w:pPr>
        <w:pStyle w:val="BodyText"/>
      </w:pPr>
      <w:r>
        <w:t xml:space="preserve">Prof. James Okafor</w:t>
      </w:r>
      <w:r>
        <w:br/>
      </w:r>
      <w:r>
        <w:t xml:space="preserve">Director of Research, BIMS</w:t>
      </w:r>
      <w:r>
        <w:br/>
      </w:r>
      <w:r>
        <w:t xml:space="preserve">Australia Brisbane</w:t>
      </w:r>
    </w:p>
    <w:p>
      <w:pPr>
        <w:pStyle w:val="BodyText"/>
      </w:pPr>
      <w:r>
        <w:t xml:space="preserve">Signature: _________________________</w:t>
      </w:r>
      <w:r>
        <w:br/>
      </w:r>
      <w:r>
        <w:t xml:space="preserve">Date: 14 June 2025</w:t>
      </w:r>
    </w:p>
    <w:p>
      <w:pPr>
        <w:pStyle w:val="BodyText"/>
      </w:pPr>
      <w:r>
        <w:rPr>
          <w:bCs/>
          <w:b/>
        </w:rPr>
        <w:t xml:space="preserve">Accepted By (Supplier):</w:t>
      </w:r>
    </w:p>
    <w:p>
      <w:pPr>
        <w:pStyle w:val="BodyText"/>
      </w:pPr>
      <w:r>
        <w:t xml:space="preserve">LabTech Scientific Supplies Pty Ltd</w:t>
      </w:r>
      <w:r>
        <w:br/>
      </w:r>
      <w:r>
        <w:t xml:space="preserve">Authorised Representative</w:t>
      </w:r>
    </w:p>
    <w:p>
      <w:pPr>
        <w:pStyle w:val="BodyText"/>
      </w:pPr>
      <w:r>
        <w:t xml:space="preserve">Signature: _________________________</w:t>
      </w:r>
      <w:r>
        <w:br/>
      </w:r>
      <w:r>
        <w:t xml:space="preserve">Date: _________________________</w:t>
      </w:r>
    </w:p>
    <w:p>
      <w:pPr>
        <w:pStyle w:val="BodyText"/>
      </w:pPr>
      <w:r>
        <w:rPr>
          <w:bCs/>
          <w:b/>
        </w:rPr>
        <w:t xml:space="preserve">Received By (Delivery):</w:t>
      </w:r>
    </w:p>
    <w:p>
      <w:pPr>
        <w:pStyle w:val="BodyText"/>
      </w:pPr>
      <w:r>
        <w:t xml:space="preserve">BIMS Laboratory Wing C</w:t>
      </w:r>
      <w:r>
        <w:br/>
      </w:r>
      <w:r>
        <w:t xml:space="preserve">Brisbane, QLD 4000, Australia Brisbane</w:t>
      </w:r>
    </w:p>
    <w:p>
      <w:pPr>
        <w:pStyle w:val="BodyText"/>
      </w:pPr>
      <w:r>
        <w:t xml:space="preserve">Signature: _________________________</w:t>
      </w:r>
      <w:r>
        <w:br/>
      </w:r>
      <w:r>
        <w:t xml:space="preserve">Date: _________________________</w:t>
      </w:r>
    </w:p>
    <w:p>
      <w:pPr>
        <w:pStyle w:val="BodyText"/>
      </w:pPr>
      <w:r>
        <w:t xml:space="preserve">This Purchase Order (BIMS-PO-2025-04871) is the property of the Brisbane Institute of Medical Sciences, Australia Brisbane. Unauthorised reproduction or distribution is prohibited. For queries regarding this Purchase Order, contact the BIMS Procurement Office at procurement@bims.edu.au or +61 7 3842 1100. This document was generated in accordance with Australian Government procurement guidelines and Queensland state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Australia Brisbane</dc:title>
  <dc:creator/>
  <dc:language>en</dc:language>
  <cp:keywords/>
  <dcterms:created xsi:type="dcterms:W3CDTF">2026-10-10T02:44:34Z</dcterms:created>
  <dcterms:modified xsi:type="dcterms:W3CDTF">2026-10-10T02:44:34Z</dcterms:modified>
</cp:coreProperties>
</file>

<file path=docProps/custom.xml><?xml version="1.0" encoding="utf-8"?>
<Properties xmlns="http://schemas.openxmlformats.org/officeDocument/2006/custom-properties" xmlns:vt="http://schemas.openxmlformats.org/officeDocument/2006/docPropsVTypes"/>
</file>