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Melbourne</w:t>
      </w:r>
    </w:p>
    <w:bookmarkStart w:id="25" w:name="purchase-order"/>
    <w:p>
      <w:pPr>
        <w:pStyle w:val="Heading1"/>
      </w:pPr>
      <w:r>
        <w:t xml:space="preserve">PURCHASE ORDER</w:t>
      </w:r>
    </w:p>
    <w:p>
      <w:pPr>
        <w:pStyle w:val="FirstParagraph"/>
      </w:pPr>
      <w:r>
        <w:t xml:space="preserve">Medical Researcher Procurement — Australia Melbourne</w:t>
      </w:r>
    </w:p>
    <w:bookmarkStart w:id="20" w:name="supplier-details"/>
    <w:p>
      <w:pPr>
        <w:pStyle w:val="Heading3"/>
      </w:pPr>
      <w:r>
        <w:t xml:space="preserve">Supplier Details</w:t>
      </w:r>
    </w:p>
    <w:p>
      <w:pPr>
        <w:pStyle w:val="FirstParagraph"/>
      </w:pPr>
      <w:r>
        <w:rPr>
          <w:bCs/>
          <w:b/>
        </w:rPr>
        <w:t xml:space="preserve">Supplier Name:</w:t>
      </w:r>
      <w:r>
        <w:t xml:space="preserve"> </w:t>
      </w:r>
      <w:r>
        <w:t xml:space="preserve">Australis Scientific Supplies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42 Research Park Drive, Richmond, Victoria 3121, Australia Melbourne</w:t>
      </w:r>
    </w:p>
    <w:p>
      <w:pPr>
        <w:pStyle w:val="BodyText"/>
      </w:pPr>
      <w:r>
        <w:rPr>
          <w:bCs/>
          <w:b/>
        </w:rPr>
        <w:t xml:space="preserve">Contact:</w:t>
      </w:r>
      <w:r>
        <w:t xml:space="preserve"> </w:t>
      </w:r>
      <w:r>
        <w:t xml:space="preserve">procurement@australissci.com.au</w:t>
      </w:r>
    </w:p>
    <w:p>
      <w:pPr>
        <w:pStyle w:val="BodyText"/>
      </w:pPr>
      <w:r>
        <w:rPr>
          <w:bCs/>
          <w:b/>
        </w:rPr>
        <w:t xml:space="preserve">Phone:</w:t>
      </w:r>
      <w:r>
        <w:t xml:space="preserve"> </w:t>
      </w:r>
      <w:r>
        <w:t xml:space="preserve">+61 3 9421 5678</w:t>
      </w:r>
    </w:p>
    <w:bookmarkEnd w:id="20"/>
    <w:bookmarkStart w:id="21" w:name="buyer-details"/>
    <w:p>
      <w:pPr>
        <w:pStyle w:val="Heading3"/>
      </w:pPr>
      <w:r>
        <w:t xml:space="preserve">Buyer Details</w:t>
      </w:r>
    </w:p>
    <w:p>
      <w:pPr>
        <w:pStyle w:val="FirstParagraph"/>
      </w:pPr>
      <w:r>
        <w:rPr>
          <w:bCs/>
          <w:b/>
        </w:rPr>
        <w:t xml:space="preserve">Buyer Name:</w:t>
      </w:r>
      <w:r>
        <w:t xml:space="preserve"> </w:t>
      </w:r>
      <w:r>
        <w:t xml:space="preserve">Dr. Eleanor Whitfield, Medical Researcher</w:t>
      </w:r>
    </w:p>
    <w:p>
      <w:pPr>
        <w:pStyle w:val="BodyText"/>
      </w:pPr>
      <w:r>
        <w:rPr>
          <w:bCs/>
          <w:b/>
        </w:rPr>
        <w:t xml:space="preserve">Department:</w:t>
      </w:r>
      <w:r>
        <w:t xml:space="preserve"> </w:t>
      </w:r>
      <w:r>
        <w:t xml:space="preserve">Department of Translational Medicine</w:t>
      </w:r>
    </w:p>
    <w:p>
      <w:pPr>
        <w:pStyle w:val="BodyText"/>
      </w:pPr>
      <w:r>
        <w:rPr>
          <w:bCs/>
          <w:b/>
        </w:rPr>
        <w:t xml:space="preserve">Institution:</w:t>
      </w:r>
      <w:r>
        <w:t xml:space="preserve"> </w:t>
      </w:r>
      <w:r>
        <w:t xml:space="preserve">Melbourne Institute for Advanced Biomedical Research</w:t>
      </w:r>
    </w:p>
    <w:p>
      <w:pPr>
        <w:pStyle w:val="BodyText"/>
      </w:pPr>
      <w:r>
        <w:rPr>
          <w:bCs/>
          <w:b/>
        </w:rPr>
        <w:t xml:space="preserve">Address:</w:t>
      </w:r>
      <w:r>
        <w:t xml:space="preserve"> </w:t>
      </w:r>
      <w:r>
        <w:t xml:space="preserve">Level 7, 247 Royal Parade, Parkville, Victoria 3052, Australia Melbourne</w:t>
      </w:r>
    </w:p>
    <w:p>
      <w:pPr>
        <w:pStyle w:val="BodyText"/>
      </w:pPr>
      <w:r>
        <w:rPr>
          <w:bCs/>
          <w:b/>
        </w:rPr>
        <w:t xml:space="preserve">Contact:</w:t>
      </w:r>
      <w:r>
        <w:t xml:space="preserve"> </w:t>
      </w:r>
      <w:r>
        <w:t xml:space="preserve">e.whitfield@miabr.edu.au</w:t>
      </w:r>
    </w:p>
    <w:p>
      <w:pPr>
        <w:pStyle w:val="BodyText"/>
      </w:pPr>
      <w:r>
        <w:rPr>
          <w:bCs/>
          <w:b/>
        </w:rPr>
        <w:t xml:space="preserve">Phone:</w:t>
      </w:r>
      <w:r>
        <w:t xml:space="preserve"> </w:t>
      </w:r>
      <w:r>
        <w:t xml:space="preserve">+61 3 9347 2210</w:t>
      </w:r>
    </w:p>
    <w:bookmarkEnd w:id="21"/>
    <w:p>
      <w:pPr>
        <w:pStyle w:val="BodyText"/>
      </w:pPr>
      <w:r>
        <w:rPr>
          <w:bCs/>
          <w:b/>
        </w:rPr>
        <w:t xml:space="preserve">Purchase Order Number:</w:t>
      </w:r>
      <w:r>
        <w:t xml:space="preserve"> </w:t>
      </w:r>
      <w:r>
        <w:t xml:space="preserve">PO-MR-2025-04871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Melbourne Institute for Advanced Biomedical Research, Level 7, 247 Royal Parade, Parkville, Victoria 3052, Australia Melbourne</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Australian Dollars (AUD)</w:t>
      </w:r>
    </w:p>
    <w:p>
      <w:pPr>
        <w:pStyle w:val="BodyText"/>
      </w:pPr>
      <w:r>
        <w:rPr>
          <w:bCs/>
          <w:b/>
        </w:rPr>
        <w:t xml:space="preserve">Incoterms:</w:t>
      </w:r>
      <w:r>
        <w:t xml:space="preserve"> </w:t>
      </w:r>
      <w:r>
        <w:t xml:space="preserve">DDP (Delivered Duty Paid) — Australia Melbourne</w:t>
      </w:r>
    </w:p>
    <w:bookmarkStart w:id="22" w:name="X3db68235faf2d9e1ab527ef280c94cff7cbd29c"/>
    <w:p>
      <w:pPr>
        <w:pStyle w:val="Heading2"/>
      </w:pPr>
      <w:r>
        <w:t xml:space="preserve">Line Items — Medical Researcher Equipment and Consumables</w:t>
      </w:r>
    </w:p>
    <w:p>
      <w:pPr>
        <w:pStyle w:val="FirstParagraph"/>
      </w:pPr>
      <w:r>
        <w:t xml:space="preserve">This Purchase Order is issued by Dr. Eleanor Whitfield, a Medical Researcher based in Australia Melbourne, in support of ongoing clinical trials and laboratory investigations conducted under the Melbourne Institute for Advanced Biomedical Research. All items listed below are required for the Medical Researcher's active grant project (NHMRC Grant No. GNT2025-00412) and must comply with Australian Therapeutic Goods Administration (TGA) standards and institutional biosafety protocols.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Real-Time PCR Thermal Cycler, 96-well, with software licence (for Medical Researcher use in Australia Melbourne)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02</w:t>
            </w:r>
          </w:p>
        </w:tc>
        <w:tc>
          <w:tcPr/>
          <w:p>
            <w:pPr>
              <w:pStyle w:val="Compact"/>
              <w:jc w:val="left"/>
            </w:pPr>
            <w:r>
              <w:t xml:space="preserve">High-Performance Liquid Chromatography (HPLC) System, UV-Vis Detector, 250 nm</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Class II Biological Safety Cabinet, 1.5 m width, HEPA filtered (required for Medical Researcher wet-lab operations)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Centrifuge, Ultra-Cool, 15,000 RPM, 24 x 1.5 mL rotor</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Cell Culture Media, DMEM High Glucose, 500 mL (lot-specific, TGA-compliant for Australia Melbourne)</w:t>
            </w:r>
          </w:p>
        </w:tc>
        <w:tc>
          <w:tcPr/>
          <w:p>
            <w:pPr>
              <w:pStyle w:val="Compact"/>
              <w:jc w:val="left"/>
            </w:pPr>
            <w:r>
              <w:t xml:space="preserve">20</w:t>
            </w:r>
          </w:p>
        </w:tc>
        <w:tc>
          <w:tcPr/>
          <w:p>
            <w:pPr>
              <w:pStyle w:val="Compact"/>
              <w:jc w:val="left"/>
            </w:pPr>
            <w:r>
              <w:t xml:space="preserve">Bottle</w:t>
            </w:r>
          </w:p>
        </w:tc>
        <w:tc>
          <w:tcPr/>
          <w:p>
            <w:pPr>
              <w:pStyle w:val="Compact"/>
              <w:jc w:val="left"/>
            </w:pPr>
            <w:r>
              <w:t xml:space="preserve">89.50</w:t>
            </w:r>
          </w:p>
        </w:tc>
        <w:tc>
          <w:tcPr/>
          <w:p>
            <w:pPr>
              <w:pStyle w:val="Compact"/>
              <w:jc w:val="left"/>
            </w:pPr>
            <w:r>
              <w:t xml:space="preserve">1,790.00</w:t>
            </w:r>
          </w:p>
        </w:tc>
      </w:tr>
      <w:tr>
        <w:tc>
          <w:tcPr/>
          <w:p>
            <w:pPr>
              <w:pStyle w:val="Compact"/>
              <w:jc w:val="left"/>
            </w:pPr>
            <w:r>
              <w:t xml:space="preserve">06</w:t>
            </w:r>
          </w:p>
        </w:tc>
        <w:tc>
          <w:tcPr/>
          <w:p>
            <w:pPr>
              <w:pStyle w:val="Compact"/>
              <w:jc w:val="left"/>
            </w:pPr>
            <w:r>
              <w:t xml:space="preserve">Antibody Kit, Monoclonal, Human CD4/CD8 Panel, 100 tests per kit</w:t>
            </w:r>
          </w:p>
        </w:tc>
        <w:tc>
          <w:tcPr/>
          <w:p>
            <w:pPr>
              <w:pStyle w:val="Compact"/>
              <w:jc w:val="left"/>
            </w:pPr>
            <w:r>
              <w:t xml:space="preserve">10</w:t>
            </w:r>
          </w:p>
        </w:tc>
        <w:tc>
          <w:tcPr/>
          <w:p>
            <w:pPr>
              <w:pStyle w:val="Compact"/>
              <w:jc w:val="left"/>
            </w:pPr>
            <w:r>
              <w:t xml:space="preserve">Kit</w:t>
            </w:r>
          </w:p>
        </w:tc>
        <w:tc>
          <w:tcPr/>
          <w:p>
            <w:pPr>
              <w:pStyle w:val="Compact"/>
              <w:jc w:val="left"/>
            </w:pPr>
            <w:r>
              <w:t xml:space="preserve">1,240.00</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Nitrile Examination Gloves, Size M, 100 per box (PPE for Medical Researcher personnel)</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12.80</w:t>
            </w:r>
          </w:p>
        </w:tc>
        <w:tc>
          <w:tcPr/>
          <w:p>
            <w:pPr>
              <w:pStyle w:val="Compact"/>
              <w:jc w:val="left"/>
            </w:pPr>
            <w:r>
              <w:t xml:space="preserve">640.00</w:t>
            </w:r>
          </w:p>
        </w:tc>
      </w:tr>
      <w:tr>
        <w:tc>
          <w:tcPr/>
          <w:p>
            <w:pPr>
              <w:pStyle w:val="Compact"/>
              <w:jc w:val="left"/>
            </w:pPr>
            <w:r>
              <w:t xml:space="preserve">08</w:t>
            </w:r>
          </w:p>
        </w:tc>
        <w:tc>
          <w:tcPr/>
          <w:p>
            <w:pPr>
              <w:pStyle w:val="Compact"/>
              <w:jc w:val="left"/>
            </w:pPr>
            <w:r>
              <w:t xml:space="preserve">Lab Notebook, Spiral-Bound, A4, Chemical-Resistant Paper (for Medical Researcher documentation)</w:t>
            </w:r>
          </w:p>
        </w:tc>
        <w:tc>
          <w:tcPr/>
          <w:p>
            <w:pPr>
              <w:pStyle w:val="Compact"/>
              <w:jc w:val="left"/>
            </w:pPr>
            <w:r>
              <w:t xml:space="preserve">30</w:t>
            </w:r>
          </w:p>
        </w:tc>
        <w:tc>
          <w:tcPr/>
          <w:p>
            <w:pPr>
              <w:pStyle w:val="Compact"/>
              <w:jc w:val="left"/>
            </w:pPr>
            <w:r>
              <w:t xml:space="preserve">Unit</w:t>
            </w:r>
          </w:p>
        </w:tc>
        <w:tc>
          <w:tcPr/>
          <w:p>
            <w:pPr>
              <w:pStyle w:val="Compact"/>
              <w:jc w:val="left"/>
            </w:pPr>
            <w:r>
              <w:t xml:space="preserve">18.50</w:t>
            </w:r>
          </w:p>
        </w:tc>
        <w:tc>
          <w:tcPr/>
          <w:p>
            <w:pPr>
              <w:pStyle w:val="Compact"/>
              <w:jc w:val="left"/>
            </w:pPr>
            <w:r>
              <w:t xml:space="preserve">555.00</w:t>
            </w:r>
          </w:p>
        </w:tc>
      </w:tr>
      <w:tr>
        <w:tc>
          <w:tcPr/>
          <w:p>
            <w:pPr>
              <w:pStyle w:val="Compact"/>
              <w:jc w:val="left"/>
            </w:pPr>
            <w:r>
              <w:t xml:space="preserve">09</w:t>
            </w:r>
          </w:p>
        </w:tc>
        <w:tc>
          <w:tcPr/>
          <w:p>
            <w:pPr>
              <w:pStyle w:val="Compact"/>
              <w:jc w:val="left"/>
            </w:pPr>
            <w:r>
              <w:t xml:space="preserve">Refrigerated Centrifuge Tubes, 50 mL, Polypropylene, Sterile (100 per pack)</w:t>
            </w:r>
          </w:p>
        </w:tc>
        <w:tc>
          <w:tcPr/>
          <w:p>
            <w:pPr>
              <w:pStyle w:val="Compact"/>
              <w:jc w:val="left"/>
            </w:pPr>
            <w:r>
              <w:t xml:space="preserve">15</w:t>
            </w:r>
          </w:p>
        </w:tc>
        <w:tc>
          <w:tcPr/>
          <w:p>
            <w:pPr>
              <w:pStyle w:val="Compact"/>
              <w:jc w:val="left"/>
            </w:pPr>
            <w:r>
              <w:t xml:space="preserve">Pack</w:t>
            </w:r>
          </w:p>
        </w:tc>
        <w:tc>
          <w:tcPr/>
          <w:p>
            <w:pPr>
              <w:pStyle w:val="Compact"/>
              <w:jc w:val="left"/>
            </w:pPr>
            <w:r>
              <w:t xml:space="preserve">34.00</w:t>
            </w:r>
          </w:p>
        </w:tc>
        <w:tc>
          <w:tcPr/>
          <w:p>
            <w:pPr>
              <w:pStyle w:val="Compact"/>
              <w:jc w:val="left"/>
            </w:pPr>
            <w:r>
              <w:t xml:space="preserve">510.00</w:t>
            </w:r>
          </w:p>
        </w:tc>
      </w:tr>
      <w:tr>
        <w:tc>
          <w:tcPr/>
          <w:p>
            <w:pPr>
              <w:pStyle w:val="Compact"/>
              <w:jc w:val="left"/>
            </w:pPr>
            <w:r>
              <w:t xml:space="preserve">10</w:t>
            </w:r>
          </w:p>
        </w:tc>
        <w:tc>
          <w:tcPr/>
          <w:p>
            <w:pPr>
              <w:pStyle w:val="Compact"/>
              <w:jc w:val="left"/>
            </w:pPr>
            <w:r>
              <w:t xml:space="preserve">Annual Calibration and Maintenance Service Agreement for all capital equipment listed above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128,245.00</w:t>
            </w:r>
          </w:p>
        </w:tc>
      </w:tr>
      <w:tr>
        <w:tc>
          <w:tcPr>
            <w:gridSpan w:val="5"/>
          </w:tcPr>
          <w:p>
            <w:pPr>
              <w:pStyle w:val="Compact"/>
              <w:jc w:val="right"/>
            </w:pPr>
            <w:r>
              <w:t xml:space="preserve">GST (10%):</w:t>
            </w:r>
          </w:p>
        </w:tc>
        <w:tc>
          <w:tcPr/>
          <w:p>
            <w:pPr>
              <w:pStyle w:val="Compact"/>
              <w:jc w:val="left"/>
            </w:pPr>
            <w:r>
              <w:t xml:space="preserve">12,824.50</w:t>
            </w:r>
          </w:p>
        </w:tc>
      </w:tr>
      <w:tr>
        <w:tc>
          <w:tcPr>
            <w:gridSpan w:val="5"/>
          </w:tcPr>
          <w:p>
            <w:pPr>
              <w:pStyle w:val="Compact"/>
              <w:jc w:val="right"/>
            </w:pPr>
            <w:r>
              <w:t xml:space="preserve">TOTAL (AUD):</w:t>
            </w:r>
          </w:p>
        </w:tc>
        <w:tc>
          <w:tcPr/>
          <w:p>
            <w:pPr>
              <w:pStyle w:val="Compact"/>
              <w:jc w:val="left"/>
            </w:pPr>
            <w:r>
              <w:t xml:space="preserve">141,069.50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governed by the laws of the State of Victoria and the Commonwealth of Australia. All disputes shall be resolved in the courts of Australia Melbourne.</w:t>
      </w:r>
    </w:p>
    <w:p>
      <w:pPr>
        <w:numPr>
          <w:ilvl w:val="0"/>
          <w:numId w:val="1001"/>
        </w:numPr>
        <w:pStyle w:val="Compact"/>
      </w:pPr>
      <w:r>
        <w:t xml:space="preserve">The Medical Researcher, Dr. Eleanor Whitfield, reserves the right to inspect all delivered goods upon arrival at the Melbourne Institute for Advanced Biomedical Research facility in Australia Melbourne. Any items found to be defective, damaged, or non-conforming to the specifications outlined in this Purchase Order shall be returned at the supplier's expense within fourteen (14) calendar days.</w:t>
      </w:r>
    </w:p>
    <w:p>
      <w:pPr>
        <w:numPr>
          <w:ilvl w:val="0"/>
          <w:numId w:val="1001"/>
        </w:numPr>
        <w:pStyle w:val="Compact"/>
      </w:pPr>
      <w:r>
        <w:t xml:space="preserve">All biological reagents, antibodies, and culture media must be shipped in compliance with the Australian Biosecurity Act 2015 and the International Air Transport Association (IATA) Dangerous Goods Regulations. The supplier must provide all necessary import permits and certificates of analysis prior to dispatch to Australia Melbourne.</w:t>
      </w:r>
    </w:p>
    <w:p>
      <w:pPr>
        <w:numPr>
          <w:ilvl w:val="0"/>
          <w:numId w:val="1001"/>
        </w:numPr>
        <w:pStyle w:val="Compact"/>
      </w:pPr>
      <w:r>
        <w:t xml:space="preserve">Capital equipment items (Items 01–04) must be delivered, installed, and commissioned at the buyer's facility in Australia Melbourne. The supplier shall provide a minimum of two (2) hours of on-site operator training for the Medical Researcher and designated laboratory staff.</w:t>
      </w:r>
    </w:p>
    <w:p>
      <w:pPr>
        <w:numPr>
          <w:ilvl w:val="0"/>
          <w:numId w:val="1001"/>
        </w:numPr>
        <w:pStyle w:val="Compact"/>
      </w:pPr>
      <w:r>
        <w:t xml:space="preserve">Payment shall be made via electronic funds transfer (EFT) to the supplier's nominated Australian bank account within thirty (30) days of receipt of a valid tax invoice. Late payments shall attract interest at the rate prescribed under the Australian Consumer Law.</w:t>
      </w:r>
    </w:p>
    <w:p>
      <w:pPr>
        <w:numPr>
          <w:ilvl w:val="0"/>
          <w:numId w:val="1001"/>
        </w:numPr>
        <w:pStyle w:val="Compact"/>
      </w:pPr>
      <w:r>
        <w:t xml:space="preserve">The supplier warrants that all goods supplied under this Purchase Order are new, unused, and free from defects in materials and workmanship for a period of twenty-four (24) months from the date of delivery in Australia Melbourne.</w:t>
      </w:r>
    </w:p>
    <w:p>
      <w:pPr>
        <w:numPr>
          <w:ilvl w:val="0"/>
          <w:numId w:val="1001"/>
        </w:numPr>
        <w:pStyle w:val="Compact"/>
      </w:pPr>
      <w:r>
        <w:t xml:space="preserve">This Purchase Order does not constitute a binding contract until countersigned by an authorised representative of the supplier. The Medical Researcher's signature constitutes acceptance of the terms herein.</w:t>
      </w:r>
    </w:p>
    <w:p>
      <w:pPr>
        <w:numPr>
          <w:ilvl w:val="0"/>
          <w:numId w:val="1001"/>
        </w:numPr>
        <w:pStyle w:val="Compact"/>
      </w:pPr>
      <w:r>
        <w:t xml:space="preserve">All data generated from the use of equipment and reagents procured under this Purchase Order remains the sole intellectual property of the Melbourne Institute for Advanced Biomedical Research and the Medical Researcher conducting the study.</w:t>
      </w:r>
    </w:p>
    <w:p>
      <w:pPr>
        <w:numPr>
          <w:ilvl w:val="0"/>
          <w:numId w:val="1001"/>
        </w:numPr>
        <w:pStyle w:val="Compact"/>
      </w:pPr>
      <w:r>
        <w:t xml:space="preserve">The supplier acknowledges that the goods procured under this Purchase Order are intended for use in a regulated medical research environment in Australia Melbourne and must meet all applicable Australian Standards (AS/NZS) and TGA requirements.</w:t>
      </w:r>
    </w:p>
    <w:bookmarkEnd w:id="23"/>
    <w:bookmarkStart w:id="24" w:name="authorisation-and-signatures"/>
    <w:p>
      <w:pPr>
        <w:pStyle w:val="Heading2"/>
      </w:pPr>
      <w:r>
        <w:t xml:space="preserve">Authorisation and Signatures</w:t>
      </w:r>
    </w:p>
    <w:p>
      <w:pPr>
        <w:pStyle w:val="FirstParagraph"/>
      </w:pPr>
      <w:r>
        <w:rPr>
          <w:bCs/>
          <w:b/>
        </w:rPr>
        <w:t xml:space="preserve">Prepared by (Buyer):</w:t>
      </w:r>
    </w:p>
    <w:p>
      <w:pPr>
        <w:pStyle w:val="BodyText"/>
      </w:pPr>
      <w:r>
        <w:t xml:space="preserve">Dr. Eleanor Whitfield, Medical Researcher</w:t>
      </w:r>
    </w:p>
    <w:p>
      <w:pPr>
        <w:pStyle w:val="BodyText"/>
      </w:pPr>
      <w:r>
        <w:t xml:space="preserve">Melbourne Institute for Advanced Biomedical Research</w:t>
      </w:r>
    </w:p>
    <w:p>
      <w:pPr>
        <w:pStyle w:val="BodyText"/>
      </w:pPr>
      <w:r>
        <w:t xml:space="preserve">Australia Melbourne</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Australis Scientific Supplies Pty Ltd</w:t>
      </w:r>
    </w:p>
    <w:p>
      <w:pPr>
        <w:pStyle w:val="BodyText"/>
      </w:pPr>
      <w:r>
        <w:t xml:space="preserve">Authorised Representative: 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PO-MR-2025-04871 — Medical Researcher Procurement — Australia Melbourne</w:t>
      </w:r>
    </w:p>
    <w:p>
      <w:pPr>
        <w:pStyle w:val="BodyText"/>
      </w:pPr>
      <w:r>
        <w:t xml:space="preserve">Melbourne Institute for Advanced Biomedical Research • 247 Royal Parade, Parkville VIC 3052 • ABN 84 000 123 456</w:t>
      </w:r>
    </w:p>
    <w:p>
      <w:pPr>
        <w:pStyle w:val="BodyText"/>
      </w:pPr>
      <w:r>
        <w:t xml:space="preserve">This document is the property of the Medical Researcher and the Melbourne Institute for Advanced Biomedical Research. Unauthorised reproduction is prohibited under Australian copyright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Australia Melbourne</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file>