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Medical</w:t>
      </w:r>
      <w:r>
        <w:t xml:space="preserve"> </w:t>
      </w:r>
      <w:r>
        <w:t xml:space="preserve">Researcher</w:t>
      </w:r>
      <w:r>
        <w:t xml:space="preserve"> </w:t>
      </w:r>
      <w:r>
        <w:t xml:space="preserve">-</w:t>
      </w:r>
      <w:r>
        <w:t xml:space="preserve"> </w:t>
      </w:r>
      <w:r>
        <w:t xml:space="preserve">Brazil</w:t>
      </w:r>
      <w:r>
        <w:t xml:space="preserve"> </w:t>
      </w:r>
      <w:r>
        <w:t xml:space="preserve">São</w:t>
      </w:r>
      <w:r>
        <w:t xml:space="preserve"> </w:t>
      </w:r>
      <w:r>
        <w:t xml:space="preserve">Paulo</w:t>
      </w:r>
    </w:p>
    <w:bookmarkStart w:id="20" w:name="purchase-order"/>
    <w:p>
      <w:pPr>
        <w:pStyle w:val="Heading1"/>
      </w:pPr>
      <w:r>
        <w:t xml:space="preserve">PURCHASE ORDER</w:t>
      </w:r>
    </w:p>
    <w:p>
      <w:pPr>
        <w:pStyle w:val="FirstParagraph"/>
      </w:pPr>
      <w:r>
        <w:rPr>
          <w:bCs/>
          <w:b/>
        </w:rPr>
        <w:t xml:space="preserve">Instituto de Pesquisa Médica de São Paulo (IPMSP)</w:t>
      </w:r>
    </w:p>
    <w:p>
      <w:pPr>
        <w:pStyle w:val="BodyText"/>
      </w:pPr>
      <w:r>
        <w:t xml:space="preserve">Av. Paulista, 1578 – Bela Vista, São Paulo – SP, CEP 01310-300, Brazil</w:t>
      </w:r>
    </w:p>
    <w:p>
      <w:pPr>
        <w:pStyle w:val="BodyText"/>
      </w:pPr>
      <w:r>
        <w:t xml:space="preserve">CNPJ: 12.345.678/0001-90 | Tel: +55 (11) 3284-5678 | Email: procurement@ipmsp.br</w:t>
      </w:r>
    </w:p>
    <w:bookmarkEnd w:id="20"/>
    <w:p>
      <w:pPr>
        <w:pStyle w:val="BodyText"/>
      </w:pPr>
      <w:r>
        <w:rPr>
          <w:bCs/>
          <w:b/>
        </w:rPr>
        <w:t xml:space="preserve">Purchase Order No.:</w:t>
      </w:r>
      <w:r>
        <w:t xml:space="preserve"> </w:t>
      </w:r>
      <w:r>
        <w:t xml:space="preserve">PO-2025-04872</w:t>
      </w:r>
      <w:r>
        <w:br/>
      </w:r>
      <w:r>
        <w:rPr>
          <w:bCs/>
          <w:b/>
        </w:rPr>
        <w:t xml:space="preserve">Date of Issue:</w:t>
      </w:r>
      <w:r>
        <w:t xml:space="preserve"> </w:t>
      </w:r>
      <w:r>
        <w:t xml:space="preserve">14 June 2025</w:t>
      </w:r>
      <w:r>
        <w:br/>
      </w:r>
      <w:r>
        <w:rPr>
          <w:bCs/>
          <w:b/>
        </w:rPr>
        <w:t xml:space="preserve">Valid Until:</w:t>
      </w:r>
      <w:r>
        <w:t xml:space="preserve"> </w:t>
      </w:r>
      <w:r>
        <w:t xml:space="preserve">14 July 2025</w:t>
      </w:r>
    </w:p>
    <w:p>
      <w:pPr>
        <w:pStyle w:val="BodyText"/>
      </w:pPr>
      <w:r>
        <w:rPr>
          <w:bCs/>
          <w:b/>
        </w:rPr>
        <w:t xml:space="preserve">Buyer:</w:t>
      </w:r>
      <w:r>
        <w:t xml:space="preserve"> </w:t>
      </w:r>
      <w:r>
        <w:t xml:space="preserve">Dr. Helena Vasconcelos, Lead Medical Researcher</w:t>
      </w:r>
      <w:r>
        <w:br/>
      </w:r>
      <w:r>
        <w:rPr>
          <w:bCs/>
          <w:b/>
        </w:rPr>
        <w:t xml:space="preserve">Department:</w:t>
      </w:r>
      <w:r>
        <w:t xml:space="preserve"> </w:t>
      </w:r>
      <w:r>
        <w:t xml:space="preserve">Department of Molecular Oncology</w:t>
      </w:r>
      <w:r>
        <w:br/>
      </w:r>
      <w:r>
        <w:rPr>
          <w:bCs/>
          <w:b/>
        </w:rPr>
        <w:t xml:space="preserve">Project Code:</w:t>
      </w:r>
      <w:r>
        <w:t xml:space="preserve"> </w:t>
      </w:r>
      <w:r>
        <w:t xml:space="preserve">MR-SP-2025-034</w:t>
      </w:r>
    </w:p>
    <w:p>
      <w:pPr>
        <w:pStyle w:val="BodyText"/>
      </w:pPr>
      <w:r>
        <w:rPr>
          <w:bCs/>
          <w:b/>
        </w:rPr>
        <w:t xml:space="preserve">Seller / Supplier:</w:t>
      </w:r>
      <w:r>
        <w:t xml:space="preserve"> </w:t>
      </w:r>
      <w:r>
        <w:t xml:space="preserve">BioEquipamentos Brasil Ltda.</w:t>
      </w:r>
      <w:r>
        <w:br/>
      </w:r>
      <w:r>
        <w:rPr>
          <w:bCs/>
          <w:b/>
        </w:rPr>
        <w:t xml:space="preserve">Address:</w:t>
      </w:r>
      <w:r>
        <w:t xml:space="preserve"> </w:t>
      </w:r>
      <w:r>
        <w:t xml:space="preserve">Rua Vergueiro, 2340 – Vila Mariana, São Paulo – SP, Brazil</w:t>
      </w:r>
      <w:r>
        <w:br/>
      </w:r>
      <w:r>
        <w:rPr>
          <w:bCs/>
          <w:b/>
        </w:rPr>
        <w:t xml:space="preserve">CNPJ:</w:t>
      </w:r>
      <w:r>
        <w:t xml:space="preserve"> </w:t>
      </w:r>
      <w:r>
        <w:t xml:space="preserve">98.765.432/0001-15</w:t>
      </w:r>
    </w:p>
    <w:bookmarkStart w:id="21" w:name="purpose-and-scope-of-this-purchase-order"/>
    <w:p>
      <w:pPr>
        <w:pStyle w:val="Heading2"/>
      </w:pPr>
      <w:r>
        <w:t xml:space="preserve">1. Purpose and Scope of This Purchase Order</w:t>
      </w:r>
    </w:p>
    <w:p>
      <w:pPr>
        <w:pStyle w:val="FirstParagraph"/>
      </w:pPr>
      <w:r>
        <w:t xml:space="preserve">This Purchase Order is issued by the Instituto de Pesquisa Médica de São Paulo (IPMSP) to formally authorize the procurement of specialized laboratory equipment, reagents, and consumables required by Dr. Helena Vasconcelos, a senior Medical Researcher leading the Molecular Oncology Research Program. All items listed herein are intended to support ongoing clinical and preclinical investigations conducted at the IPMSP facility located in the Bela Vista district of São Paulo, Brazil. This Purchase Order constitutes a binding agreement between the buyer and the supplier for the delivery of goods in accordance with the specifications, timelines, and regulatory standards applicable to medical research operations in the state of São Paulo and the broader Brazilian jurisdiction.</w:t>
      </w:r>
    </w:p>
    <w:bookmarkEnd w:id="21"/>
    <w:bookmarkStart w:id="22" w:name="X7b7a5ecbfa5137c9e40fc181125eb66ceeff554"/>
    <w:p>
      <w:pPr>
        <w:pStyle w:val="Heading2"/>
      </w:pPr>
      <w:r>
        <w:t xml:space="preserve">2. Line Items – Equipment, Reagents, and Consumables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Specification / Model</w:t>
            </w:r>
          </w:p>
        </w:tc>
        <w:tc>
          <w:tcPr/>
          <w:p>
            <w:pPr>
              <w:pStyle w:val="Compact"/>
              <w:jc w:val="left"/>
            </w:pPr>
            <w:r>
              <w:t xml:space="preserve">Qty</w:t>
            </w:r>
          </w:p>
        </w:tc>
        <w:tc>
          <w:tcPr/>
          <w:p>
            <w:pPr>
              <w:pStyle w:val="Compact"/>
              <w:jc w:val="left"/>
            </w:pPr>
            <w:r>
              <w:t xml:space="preserve">Unit Price (BRL)</w:t>
            </w:r>
          </w:p>
        </w:tc>
        <w:tc>
          <w:tcPr/>
          <w:p>
            <w:pPr>
              <w:pStyle w:val="Compact"/>
              <w:jc w:val="left"/>
            </w:pPr>
            <w:r>
              <w:t xml:space="preserve">Subtotal (BRL)</w:t>
            </w:r>
          </w:p>
        </w:tc>
      </w:tr>
      <w:tr>
        <w:tc>
          <w:tcPr/>
          <w:p>
            <w:pPr>
              <w:pStyle w:val="Compact"/>
              <w:jc w:val="left"/>
            </w:pPr>
            <w:r>
              <w:t xml:space="preserve">01</w:t>
            </w:r>
          </w:p>
        </w:tc>
        <w:tc>
          <w:tcPr/>
          <w:p>
            <w:pPr>
              <w:pStyle w:val="Compact"/>
              <w:jc w:val="left"/>
            </w:pPr>
            <w:r>
              <w:t xml:space="preserve">Real-Time PCR Thermal Cycler (for Medical Researcher use in gene expression studies)</w:t>
            </w:r>
          </w:p>
        </w:tc>
        <w:tc>
          <w:tcPr/>
          <w:p>
            <w:pPr>
              <w:pStyle w:val="Compact"/>
              <w:jc w:val="left"/>
            </w:pPr>
            <w:r>
              <w:t xml:space="preserve">Applied Biosystems QuantStudio 7 Pro</w:t>
            </w:r>
          </w:p>
        </w:tc>
        <w:tc>
          <w:tcPr/>
          <w:p>
            <w:pPr>
              <w:pStyle w:val="Compact"/>
              <w:jc w:val="left"/>
            </w:pPr>
            <w:r>
              <w:t xml:space="preserve">2</w:t>
            </w:r>
          </w:p>
        </w:tc>
        <w:tc>
          <w:tcPr/>
          <w:p>
            <w:pPr>
              <w:pStyle w:val="Compact"/>
              <w:jc w:val="left"/>
            </w:pPr>
            <w:r>
              <w:t xml:space="preserve">87,500.00</w:t>
            </w:r>
          </w:p>
        </w:tc>
        <w:tc>
          <w:tcPr/>
          <w:p>
            <w:pPr>
              <w:pStyle w:val="Compact"/>
              <w:jc w:val="left"/>
            </w:pPr>
            <w:r>
              <w:t xml:space="preserve">175,000.00</w:t>
            </w:r>
          </w:p>
        </w:tc>
      </w:tr>
      <w:tr>
        <w:tc>
          <w:tcPr/>
          <w:p>
            <w:pPr>
              <w:pStyle w:val="Compact"/>
              <w:jc w:val="left"/>
            </w:pPr>
            <w:r>
              <w:t xml:space="preserve">02</w:t>
            </w:r>
          </w:p>
        </w:tc>
        <w:tc>
          <w:tcPr/>
          <w:p>
            <w:pPr>
              <w:pStyle w:val="Compact"/>
              <w:jc w:val="left"/>
            </w:pPr>
            <w:r>
              <w:t xml:space="preserve">Confocal Laser Scanning Microscope (cellular imaging for oncology research)</w:t>
            </w:r>
          </w:p>
        </w:tc>
        <w:tc>
          <w:tcPr/>
          <w:p>
            <w:pPr>
              <w:pStyle w:val="Compact"/>
              <w:jc w:val="left"/>
            </w:pPr>
            <w:r>
              <w:t xml:space="preserve">Zeiss LSM 980 Airyscan 2</w:t>
            </w:r>
          </w:p>
        </w:tc>
        <w:tc>
          <w:tcPr/>
          <w:p>
            <w:pPr>
              <w:pStyle w:val="Compact"/>
              <w:jc w:val="left"/>
            </w:pPr>
            <w:r>
              <w:t xml:space="preserve">1</w:t>
            </w:r>
          </w:p>
        </w:tc>
        <w:tc>
          <w:tcPr/>
          <w:p>
            <w:pPr>
              <w:pStyle w:val="Compact"/>
              <w:jc w:val="left"/>
            </w:pPr>
            <w:r>
              <w:t xml:space="preserve">1,250,000.00</w:t>
            </w:r>
          </w:p>
        </w:tc>
        <w:tc>
          <w:tcPr/>
          <w:p>
            <w:pPr>
              <w:pStyle w:val="Compact"/>
              <w:jc w:val="left"/>
            </w:pPr>
            <w:r>
              <w:t xml:space="preserve">1,250,000.00</w:t>
            </w:r>
          </w:p>
        </w:tc>
      </w:tr>
      <w:tr>
        <w:tc>
          <w:tcPr/>
          <w:p>
            <w:pPr>
              <w:pStyle w:val="Compact"/>
              <w:jc w:val="left"/>
            </w:pPr>
            <w:r>
              <w:t xml:space="preserve">03</w:t>
            </w:r>
          </w:p>
        </w:tc>
        <w:tc>
          <w:tcPr/>
          <w:p>
            <w:pPr>
              <w:pStyle w:val="Compact"/>
              <w:jc w:val="left"/>
            </w:pPr>
            <w:r>
              <w:t xml:space="preserve">Biobank Cryogenic Storage System (−80 °C, 2,400 vial capacity)</w:t>
            </w:r>
          </w:p>
        </w:tc>
        <w:tc>
          <w:tcPr/>
          <w:p>
            <w:pPr>
              <w:pStyle w:val="Compact"/>
              <w:jc w:val="left"/>
            </w:pPr>
            <w:r>
              <w:t xml:space="preserve">Thermo Fisher TSX Ultra</w:t>
            </w:r>
          </w:p>
        </w:tc>
        <w:tc>
          <w:tcPr/>
          <w:p>
            <w:pPr>
              <w:pStyle w:val="Compact"/>
              <w:jc w:val="left"/>
            </w:pPr>
            <w:r>
              <w:t xml:space="preserve">1</w:t>
            </w:r>
          </w:p>
        </w:tc>
        <w:tc>
          <w:tcPr/>
          <w:p>
            <w:pPr>
              <w:pStyle w:val="Compact"/>
              <w:jc w:val="left"/>
            </w:pPr>
            <w:r>
              <w:t xml:space="preserve">145,000.00</w:t>
            </w:r>
          </w:p>
        </w:tc>
        <w:tc>
          <w:tcPr/>
          <w:p>
            <w:pPr>
              <w:pStyle w:val="Compact"/>
              <w:jc w:val="left"/>
            </w:pPr>
            <w:r>
              <w:t xml:space="preserve">145,000.00</w:t>
            </w:r>
          </w:p>
        </w:tc>
      </w:tr>
      <w:tr>
        <w:tc>
          <w:tcPr/>
          <w:p>
            <w:pPr>
              <w:pStyle w:val="Compact"/>
              <w:jc w:val="left"/>
            </w:pPr>
            <w:r>
              <w:t xml:space="preserve">04</w:t>
            </w:r>
          </w:p>
        </w:tc>
        <w:tc>
          <w:tcPr/>
          <w:p>
            <w:pPr>
              <w:pStyle w:val="Compact"/>
              <w:jc w:val="left"/>
            </w:pPr>
            <w:r>
              <w:t xml:space="preserve">Monoclonal Antibody Kit – HER2/neu (research grade, 500 assays)</w:t>
            </w:r>
          </w:p>
        </w:tc>
        <w:tc>
          <w:tcPr/>
          <w:p>
            <w:pPr>
              <w:pStyle w:val="Compact"/>
              <w:jc w:val="left"/>
            </w:pPr>
            <w:r>
              <w:t xml:space="preserve">Dako M7010, Lot 2025-SP</w:t>
            </w:r>
          </w:p>
        </w:tc>
        <w:tc>
          <w:tcPr/>
          <w:p>
            <w:pPr>
              <w:pStyle w:val="Compact"/>
              <w:jc w:val="left"/>
            </w:pPr>
            <w:r>
              <w:t xml:space="preserve">10</w:t>
            </w:r>
          </w:p>
        </w:tc>
        <w:tc>
          <w:tcPr/>
          <w:p>
            <w:pPr>
              <w:pStyle w:val="Compact"/>
              <w:jc w:val="left"/>
            </w:pPr>
            <w:r>
              <w:t xml:space="preserve">3,200.00</w:t>
            </w:r>
          </w:p>
        </w:tc>
        <w:tc>
          <w:tcPr/>
          <w:p>
            <w:pPr>
              <w:pStyle w:val="Compact"/>
              <w:jc w:val="left"/>
            </w:pPr>
            <w:r>
              <w:t xml:space="preserve">32,000.00</w:t>
            </w:r>
          </w:p>
        </w:tc>
      </w:tr>
      <w:tr>
        <w:tc>
          <w:tcPr/>
          <w:p>
            <w:pPr>
              <w:pStyle w:val="Compact"/>
              <w:jc w:val="left"/>
            </w:pPr>
            <w:r>
              <w:t xml:space="preserve">05</w:t>
            </w:r>
          </w:p>
        </w:tc>
        <w:tc>
          <w:tcPr/>
          <w:p>
            <w:pPr>
              <w:pStyle w:val="Compact"/>
              <w:jc w:val="left"/>
            </w:pPr>
            <w:r>
              <w:t xml:space="preserve">Cell Culture Media – DMEM High Glucose (500 mL, sterile, 12-pack)</w:t>
            </w:r>
          </w:p>
        </w:tc>
        <w:tc>
          <w:tcPr/>
          <w:p>
            <w:pPr>
              <w:pStyle w:val="Compact"/>
              <w:jc w:val="left"/>
            </w:pPr>
            <w:r>
              <w:t xml:space="preserve">Gibco 11965092</w:t>
            </w:r>
          </w:p>
        </w:tc>
        <w:tc>
          <w:tcPr/>
          <w:p>
            <w:pPr>
              <w:pStyle w:val="Compact"/>
              <w:jc w:val="left"/>
            </w:pPr>
            <w:r>
              <w:t xml:space="preserve">24</w:t>
            </w:r>
          </w:p>
        </w:tc>
        <w:tc>
          <w:tcPr/>
          <w:p>
            <w:pPr>
              <w:pStyle w:val="Compact"/>
              <w:jc w:val="left"/>
            </w:pPr>
            <w:r>
              <w:t xml:space="preserve">1,850.00</w:t>
            </w:r>
          </w:p>
        </w:tc>
        <w:tc>
          <w:tcPr/>
          <w:p>
            <w:pPr>
              <w:pStyle w:val="Compact"/>
              <w:jc w:val="left"/>
            </w:pPr>
            <w:r>
              <w:t xml:space="preserve">44,400.00</w:t>
            </w:r>
          </w:p>
        </w:tc>
      </w:tr>
      <w:tr>
        <w:tc>
          <w:tcPr/>
          <w:p>
            <w:pPr>
              <w:pStyle w:val="Compact"/>
              <w:jc w:val="left"/>
            </w:pPr>
            <w:r>
              <w:t xml:space="preserve">06</w:t>
            </w:r>
          </w:p>
        </w:tc>
        <w:tc>
          <w:tcPr/>
          <w:p>
            <w:pPr>
              <w:pStyle w:val="Compact"/>
              <w:jc w:val="left"/>
            </w:pPr>
            <w:r>
              <w:t xml:space="preserve">Automated Liquid Handling Workstation (for high-throughput screening)</w:t>
            </w:r>
          </w:p>
        </w:tc>
        <w:tc>
          <w:tcPr/>
          <w:p>
            <w:pPr>
              <w:pStyle w:val="Compact"/>
              <w:jc w:val="left"/>
            </w:pPr>
            <w:r>
              <w:t xml:space="preserve">Beckman Coulter Biomek i7</w:t>
            </w:r>
          </w:p>
        </w:tc>
        <w:tc>
          <w:tcPr/>
          <w:p>
            <w:pPr>
              <w:pStyle w:val="Compact"/>
              <w:jc w:val="left"/>
            </w:pPr>
            <w:r>
              <w:t xml:space="preserve">1</w:t>
            </w:r>
          </w:p>
        </w:tc>
        <w:tc>
          <w:tcPr/>
          <w:p>
            <w:pPr>
              <w:pStyle w:val="Compact"/>
              <w:jc w:val="left"/>
            </w:pPr>
            <w:r>
              <w:t xml:space="preserve">320,000.00</w:t>
            </w:r>
          </w:p>
        </w:tc>
        <w:tc>
          <w:tcPr/>
          <w:p>
            <w:pPr>
              <w:pStyle w:val="Compact"/>
              <w:jc w:val="left"/>
            </w:pPr>
            <w:r>
              <w:t xml:space="preserve">320,000.00</w:t>
            </w:r>
          </w:p>
        </w:tc>
      </w:tr>
      <w:tr>
        <w:tc>
          <w:tcPr/>
          <w:p>
            <w:pPr>
              <w:pStyle w:val="Compact"/>
              <w:jc w:val="left"/>
            </w:pPr>
            <w:r>
              <w:t xml:space="preserve">07</w:t>
            </w:r>
          </w:p>
        </w:tc>
        <w:tc>
          <w:tcPr/>
          <w:p>
            <w:pPr>
              <w:pStyle w:val="Compact"/>
              <w:jc w:val="left"/>
            </w:pPr>
            <w:r>
              <w:t xml:space="preserve">Nitrile Examination Gloves (size M, 100-box case, medical grade)</w:t>
            </w:r>
          </w:p>
        </w:tc>
        <w:tc>
          <w:tcPr/>
          <w:p>
            <w:pPr>
              <w:pStyle w:val="Compact"/>
              <w:jc w:val="left"/>
            </w:pPr>
            <w:r>
              <w:t xml:space="preserve">Medi-Hand Premium</w:t>
            </w:r>
          </w:p>
        </w:tc>
        <w:tc>
          <w:tcPr/>
          <w:p>
            <w:pPr>
              <w:pStyle w:val="Compact"/>
              <w:jc w:val="left"/>
            </w:pPr>
            <w:r>
              <w:t xml:space="preserve">50</w:t>
            </w:r>
          </w:p>
        </w:tc>
        <w:tc>
          <w:tcPr/>
          <w:p>
            <w:pPr>
              <w:pStyle w:val="Compact"/>
              <w:jc w:val="left"/>
            </w:pPr>
            <w:r>
              <w:t xml:space="preserve">185.00</w:t>
            </w:r>
          </w:p>
        </w:tc>
        <w:tc>
          <w:tcPr/>
          <w:p>
            <w:pPr>
              <w:pStyle w:val="Compact"/>
              <w:jc w:val="left"/>
            </w:pPr>
            <w:r>
              <w:t xml:space="preserve">9,250.00</w:t>
            </w:r>
          </w:p>
        </w:tc>
      </w:tr>
      <w:tr>
        <w:tc>
          <w:tcPr/>
          <w:p>
            <w:pPr>
              <w:pStyle w:val="Compact"/>
              <w:jc w:val="left"/>
            </w:pPr>
            <w:r>
              <w:t xml:space="preserve">08</w:t>
            </w:r>
          </w:p>
        </w:tc>
        <w:tc>
          <w:tcPr/>
          <w:p>
            <w:pPr>
              <w:pStyle w:val="Compact"/>
              <w:jc w:val="left"/>
            </w:pPr>
            <w:r>
              <w:t xml:space="preserve">Genomic DNA Extraction Kit (solid tissue, 200 preparations)</w:t>
            </w:r>
          </w:p>
        </w:tc>
        <w:tc>
          <w:tcPr/>
          <w:p>
            <w:pPr>
              <w:pStyle w:val="Compact"/>
              <w:jc w:val="left"/>
            </w:pPr>
            <w:r>
              <w:t xml:space="preserve">Qiagen DNeasy Tissue Kit</w:t>
            </w:r>
          </w:p>
        </w:tc>
        <w:tc>
          <w:tcPr/>
          <w:p>
            <w:pPr>
              <w:pStyle w:val="Compact"/>
              <w:jc w:val="left"/>
            </w:pPr>
            <w:r>
              <w:t xml:space="preserve">15</w:t>
            </w:r>
          </w:p>
        </w:tc>
        <w:tc>
          <w:tcPr/>
          <w:p>
            <w:pPr>
              <w:pStyle w:val="Compact"/>
              <w:jc w:val="left"/>
            </w:pPr>
            <w:r>
              <w:t xml:space="preserve">4,750.00</w:t>
            </w:r>
          </w:p>
        </w:tc>
        <w:tc>
          <w:tcPr/>
          <w:p>
            <w:pPr>
              <w:pStyle w:val="Compact"/>
              <w:jc w:val="left"/>
            </w:pPr>
            <w:r>
              <w:t xml:space="preserve">71,250.00</w:t>
            </w:r>
          </w:p>
        </w:tc>
      </w:tr>
      <w:tr>
        <w:tc>
          <w:tcPr>
            <w:gridSpan w:val="5"/>
          </w:tcPr>
          <w:p>
            <w:pPr>
              <w:pStyle w:val="Compact"/>
              <w:jc w:val="right"/>
            </w:pPr>
            <w:r>
              <w:t xml:space="preserve">TOTAL (BRL)</w:t>
            </w:r>
          </w:p>
        </w:tc>
        <w:tc>
          <w:tcPr/>
          <w:p>
            <w:pPr>
              <w:pStyle w:val="Compact"/>
              <w:jc w:val="left"/>
            </w:pPr>
            <w:r>
              <w:t xml:space="preserve">2,046,900.00</w:t>
            </w:r>
          </w:p>
        </w:tc>
      </w:tr>
    </w:tbl>
    <w:bookmarkEnd w:id="22"/>
    <w:bookmarkStart w:id="23" w:name="delivery-and-logistics"/>
    <w:p>
      <w:pPr>
        <w:pStyle w:val="Heading2"/>
      </w:pPr>
      <w:r>
        <w:t xml:space="preserve">3. Delivery and Logistics</w:t>
      </w:r>
    </w:p>
    <w:p>
      <w:pPr>
        <w:pStyle w:val="FirstParagraph"/>
      </w:pPr>
      <w:r>
        <w:t xml:space="preserve">All items covered by this Purchase Order shall be delivered to the IPMSP laboratory complex at Av. Paulista, 1578, Bela Vista, São Paulo – SP, Brazil, CEP 01310-300. Delivery is scheduled no later than 30 July 2025. The supplier, BioEquipamentos Brasil Ltda., is responsible for all freight, insurance, and customs clearance (where applicable for imported components) until the goods are received and inspected at the São Paulo facility. Fragile and temperature-sensitive items (Items 02, 03, and 04) must be transported under validated cold-chain conditions compliant with ANVISA (Agência Nacional de Vigilância Sanitária) regulations for medical and research materials in Brazil.</w:t>
      </w:r>
    </w:p>
    <w:bookmarkEnd w:id="23"/>
    <w:bookmarkStart w:id="24" w:name="payment-terms"/>
    <w:p>
      <w:pPr>
        <w:pStyle w:val="Heading2"/>
      </w:pPr>
      <w:r>
        <w:t xml:space="preserve">4. Payment Terms</w:t>
      </w:r>
    </w:p>
    <w:p>
      <w:pPr>
        <w:numPr>
          <w:ilvl w:val="0"/>
          <w:numId w:val="1001"/>
        </w:numPr>
        <w:pStyle w:val="Compact"/>
      </w:pPr>
      <w:r>
        <w:rPr>
          <w:bCs/>
          <w:b/>
        </w:rPr>
        <w:t xml:space="preserve">Payment Method:</w:t>
      </w:r>
      <w:r>
        <w:t xml:space="preserve"> </w:t>
      </w:r>
      <w:r>
        <w:t xml:space="preserve">Bank transfer (TED/PIX) to the supplier's designated account in BRL (Brazilian Real).</w:t>
      </w:r>
    </w:p>
    <w:p>
      <w:pPr>
        <w:numPr>
          <w:ilvl w:val="0"/>
          <w:numId w:val="1001"/>
        </w:numPr>
        <w:pStyle w:val="Compact"/>
      </w:pPr>
      <w:r>
        <w:rPr>
          <w:bCs/>
          <w:b/>
        </w:rPr>
        <w:t xml:space="preserve">Payment Schedule:</w:t>
      </w:r>
      <w:r>
        <w:t xml:space="preserve"> </w:t>
      </w:r>
      <w:r>
        <w:t xml:space="preserve">40% advance payment upon signing of this Purchase Order; 60% balance due within 30 days after confirmed delivery and acceptance of all line items by the Medical Researcher's laboratory team.</w:t>
      </w:r>
    </w:p>
    <w:p>
      <w:pPr>
        <w:numPr>
          <w:ilvl w:val="0"/>
          <w:numId w:val="1001"/>
        </w:numPr>
        <w:pStyle w:val="Compact"/>
      </w:pPr>
      <w:r>
        <w:rPr>
          <w:bCs/>
          <w:b/>
        </w:rPr>
        <w:t xml:space="preserve">Bank Details:</w:t>
      </w:r>
      <w:r>
        <w:t xml:space="preserve"> </w:t>
      </w:r>
      <w:r>
        <w:t xml:space="preserve">Banco do Brasil, Ag. 1234-5, Conta Corrente 98765-4, CNPJ 98.765.432/0001-15.</w:t>
      </w:r>
    </w:p>
    <w:p>
      <w:pPr>
        <w:numPr>
          <w:ilvl w:val="0"/>
          <w:numId w:val="1001"/>
        </w:numPr>
        <w:pStyle w:val="Compact"/>
      </w:pPr>
      <w:r>
        <w:rPr>
          <w:bCs/>
          <w:b/>
        </w:rPr>
        <w:t xml:space="preserve">Penalty for Late Payment:</w:t>
      </w:r>
      <w:r>
        <w:t xml:space="preserve"> </w:t>
      </w:r>
      <w:r>
        <w:t xml:space="preserve">1% per month of delay, in accordance with Brazilian commercial law (Código Civil, Art. 412).</w:t>
      </w:r>
    </w:p>
    <w:bookmarkEnd w:id="24"/>
    <w:bookmarkStart w:id="25" w:name="terms-and-conditions"/>
    <w:p>
      <w:pPr>
        <w:pStyle w:val="Heading2"/>
      </w:pPr>
      <w:r>
        <w:t xml:space="preserve">5. Terms and Conditions</w:t>
      </w:r>
    </w:p>
    <w:p>
      <w:pPr>
        <w:numPr>
          <w:ilvl w:val="0"/>
          <w:numId w:val="1002"/>
        </w:numPr>
        <w:pStyle w:val="Compact"/>
      </w:pPr>
      <w:r>
        <w:t xml:space="preserve">All equipment must comply with current ANVISA registration requirements and ABNT (Associação Brasileira de Normas Técnicas) standards applicable to medical research instruments in Brazil.</w:t>
      </w:r>
    </w:p>
    <w:p>
      <w:pPr>
        <w:numPr>
          <w:ilvl w:val="0"/>
          <w:numId w:val="1002"/>
        </w:numPr>
        <w:pStyle w:val="Compact"/>
      </w:pPr>
      <w:r>
        <w:t xml:space="preserve">The Medical Researcher, Dr. Helena Vasconcelos, or her designated laboratory supervisor, shall conduct a 10-business-day acceptance inspection upon delivery. Any non-conforming items must be replaced or repaired at the supplier's expense within 15 business days.</w:t>
      </w:r>
    </w:p>
    <w:p>
      <w:pPr>
        <w:numPr>
          <w:ilvl w:val="0"/>
          <w:numId w:val="1002"/>
        </w:numPr>
        <w:pStyle w:val="Compact"/>
      </w:pPr>
      <w:r>
        <w:t xml:space="preserve">The supplier shall provide a minimum 24-month warranty on all capital equipment (Items 01, 02, 03, and 06), including on-site service coverage within the São Paulo metropolitan area.</w:t>
      </w:r>
    </w:p>
    <w:p>
      <w:pPr>
        <w:numPr>
          <w:ilvl w:val="0"/>
          <w:numId w:val="1002"/>
        </w:numPr>
        <w:pStyle w:val="Compact"/>
      </w:pPr>
      <w:r>
        <w:t xml:space="preserve">Technical training for up to six (6) IPMSP laboratory personnel shall be included at no additional cost for each capital equipment item.</w:t>
      </w:r>
    </w:p>
    <w:p>
      <w:pPr>
        <w:numPr>
          <w:ilvl w:val="0"/>
          <w:numId w:val="1002"/>
        </w:numPr>
        <w:pStyle w:val="Compact"/>
      </w:pPr>
      <w:r>
        <w:t xml:space="preserve">This Purchase Order is governed by the laws of the Federative Republic of Brazil. Any disputes shall be resolved by the competent courts of the city of São Paulo, State of São Paulo, Brazil.</w:t>
      </w:r>
    </w:p>
    <w:p>
      <w:pPr>
        <w:numPr>
          <w:ilvl w:val="0"/>
          <w:numId w:val="1002"/>
        </w:numPr>
        <w:pStyle w:val="Compact"/>
      </w:pPr>
      <w:r>
        <w:t xml:space="preserve">The supplier warrants that all reagents and consumables (Items 04, 05, 07, 08) shall have a minimum shelf life of 12 months from the date of delivery.</w:t>
      </w:r>
    </w:p>
    <w:bookmarkEnd w:id="25"/>
    <w:p>
      <w:pPr>
        <w:pStyle w:val="FirstParagraph"/>
      </w:pPr>
      <w:r>
        <w:rPr>
          <w:bCs/>
          <w:b/>
        </w:rPr>
        <w:t xml:space="preserve">Important Note:</w:t>
      </w:r>
      <w:r>
        <w:t xml:space="preserve"> </w:t>
      </w:r>
      <w:r>
        <w:t xml:space="preserve">This Purchase Order supports a federally funded medical research project (CNPq Grant No. 42.876.543/2024) focused on biomarker identification in breast cancer. All procurement activities are subject to audit by the Brazilian National Council for Scientific and Technological Development (CNPq) and must be documented in full compliance with IPMSP internal financial controls and São Paulo state public procurement regulations.</w:t>
      </w:r>
    </w:p>
    <w:bookmarkStart w:id="26" w:name="authorization-and-signatures"/>
    <w:p>
      <w:pPr>
        <w:pStyle w:val="Heading2"/>
      </w:pPr>
      <w:r>
        <w:t xml:space="preserve">6. Authorization and Signatures</w:t>
      </w:r>
    </w:p>
    <w:p>
      <w:pPr>
        <w:pStyle w:val="FirstParagraph"/>
      </w:pPr>
      <w:r>
        <w:t xml:space="preserve">This Purchase Order is hereby authorized and approved by the undersigned. By signing below, both parties acknowledge and agree to all terms, conditions, specifications, and obligations set forth in this document. The Medical Researcher confirms that the requested items are essential to the continuity of the Molecular Oncology Research Program and that the budget allocation for this Purchase Order has been verified by the IPMSP Finance Department.</w:t>
      </w:r>
    </w:p>
    <w:bookmarkEnd w:id="26"/>
    <w:p>
      <w:pPr>
        <w:pStyle w:val="BodyText"/>
      </w:pPr>
      <w:r>
        <w:rPr>
          <w:bCs/>
          <w:b/>
        </w:rPr>
        <w:t xml:space="preserve">For the Buyer (IPMSP):</w:t>
      </w:r>
      <w:r>
        <w:br/>
      </w:r>
      <w:r>
        <w:br/>
      </w:r>
      <w:r>
        <w:t xml:space="preserve">________________________________</w:t>
      </w:r>
      <w:r>
        <w:br/>
      </w:r>
      <w:r>
        <w:t xml:space="preserve">Dr. Helena Vasconcelos</w:t>
      </w:r>
      <w:r>
        <w:br/>
      </w:r>
      <w:r>
        <w:t xml:space="preserve">Lead Medical Researcher</w:t>
      </w:r>
      <w:r>
        <w:br/>
      </w:r>
      <w:r>
        <w:t xml:space="preserve">Department of Molecular Oncology</w:t>
      </w:r>
      <w:r>
        <w:br/>
      </w:r>
      <w:r>
        <w:t xml:space="preserve">Date: _______________</w:t>
      </w:r>
    </w:p>
    <w:p>
      <w:pPr>
        <w:pStyle w:val="BodyText"/>
      </w:pPr>
      <w:r>
        <w:rPr>
          <w:bCs/>
          <w:b/>
        </w:rPr>
        <w:t xml:space="preserve">For the Supplier (BioEquipamentos Brasil Ltda.):</w:t>
      </w:r>
      <w:r>
        <w:br/>
      </w:r>
      <w:r>
        <w:br/>
      </w:r>
      <w:r>
        <w:t xml:space="preserve">________________________________</w:t>
      </w:r>
      <w:r>
        <w:br/>
      </w:r>
      <w:r>
        <w:t xml:space="preserve">Carlos Eduardo Menezes</w:t>
      </w:r>
      <w:r>
        <w:br/>
      </w:r>
      <w:r>
        <w:t xml:space="preserve">Director of Sales &amp; Procurement</w:t>
      </w:r>
      <w:r>
        <w:br/>
      </w:r>
      <w:r>
        <w:t xml:space="preserve">Date: _______________</w:t>
      </w:r>
    </w:p>
    <w:p>
      <w:pPr>
        <w:pStyle w:val="BodyText"/>
      </w:pPr>
      <w:r>
        <w:t xml:space="preserve">Purchase Order PO-2025-04872 | Instituto de Pesquisa Médica de São Paulo | São Paulo – SP, Brazil</w:t>
      </w:r>
    </w:p>
    <w:p>
      <w:pPr>
        <w:pStyle w:val="BodyText"/>
      </w:pPr>
      <w:r>
        <w:t xml:space="preserve">This document is valid only when signed by both parties. Unauthorized reproduction or distribution is prohibited.</w:t>
      </w:r>
    </w:p>
    <w:p>
      <w:pPr>
        <w:pStyle w:val="BodyText"/>
      </w:pPr>
      <w:r>
        <w:t xml:space="preserve">Page 1 of 1 | Generated: 14 June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Medical Researcher - Brazil São Paulo</dc:title>
  <dc:creator/>
  <dc:language>en</dc:language>
  <cp:keywords/>
  <dcterms:created xsi:type="dcterms:W3CDTF">2026-10-10T04:36:15Z</dcterms:created>
  <dcterms:modified xsi:type="dcterms:W3CDTF">2026-10-10T04:36:15Z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