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University of Toronto – Faculty of Medicine, Department of Clinical Research</w:t>
      </w:r>
    </w:p>
    <w:p>
      <w:pPr>
        <w:pStyle w:val="BodyText"/>
      </w:pPr>
      <w:r>
        <w:t xml:space="preserve">200 Elizabeth Street, Suite 400, Canada Toronto, Ontario M5G 2C4</w:t>
      </w:r>
    </w:p>
    <w:p>
      <w:pPr>
        <w:pStyle w:val="BodyText"/>
      </w:pPr>
      <w:r>
        <w:t xml:space="preserve">Phone: +1 (416) 978-5000 | Email: procurement@medresearch.utoronto.ca</w:t>
      </w:r>
    </w:p>
    <w:p>
      <w:pPr>
        <w:pStyle w:val="BodyText"/>
      </w:pPr>
      <w:r>
        <w:t xml:space="preserve">Business Number: 123456789 RT0001</w:t>
      </w:r>
    </w:p>
    <w:bookmarkEnd w:id="20"/>
    <w:p>
      <w:pPr>
        <w:pStyle w:val="BodyText"/>
      </w:pPr>
      <w:r>
        <w:rPr>
          <w:bCs/>
          <w:b/>
        </w:rPr>
        <w:t xml:space="preserve">Purchase Order No.:</w:t>
      </w:r>
      <w:r>
        <w:t xml:space="preserve"> </w:t>
      </w:r>
      <w:r>
        <w:t xml:space="preserve">PO-2025-MR-04872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p>
    <w:p>
      <w:pPr>
        <w:pStyle w:val="BodyText"/>
      </w:pPr>
      <w:r>
        <w:rPr>
          <w:bCs/>
          <w:b/>
        </w:rPr>
        <w:t xml:space="preserve">Project Reference:</w:t>
      </w:r>
      <w:r>
        <w:t xml:space="preserve"> </w:t>
      </w:r>
      <w:r>
        <w:t xml:space="preserve">MR-ONT-2025-Phase III</w:t>
      </w:r>
      <w:r>
        <w:br/>
      </w:r>
      <w:r>
        <w:rPr>
          <w:bCs/>
          <w:b/>
        </w:rPr>
        <w:t xml:space="preserve">Medical Researcher:</w:t>
      </w:r>
      <w:r>
        <w:t xml:space="preserve"> </w:t>
      </w:r>
      <w:r>
        <w:t xml:space="preserve">Dr. Elena Vasquez, PhD</w:t>
      </w:r>
      <w:r>
        <w:br/>
      </w:r>
      <w:r>
        <w:rPr>
          <w:bCs/>
          <w:b/>
        </w:rPr>
        <w:t xml:space="preserve">Department:</w:t>
      </w:r>
      <w:r>
        <w:t xml:space="preserve"> </w:t>
      </w:r>
      <w:r>
        <w:t xml:space="preserve">Molecular Oncology &amp; Genomics</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Canadian Dollars (CAD)</w:t>
      </w:r>
      <w:r>
        <w:br/>
      </w:r>
      <w:r>
        <w:rPr>
          <w:bCs/>
          <w:b/>
        </w:rPr>
        <w:t xml:space="preserve">Incoterms:</w:t>
      </w:r>
      <w:r>
        <w:t xml:space="preserve"> </w:t>
      </w:r>
      <w:r>
        <w:t xml:space="preserve">DDP Canada Toronto</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PrecisionLab Scientific Instruments Inc.</w:t>
            </w:r>
          </w:p>
        </w:tc>
        <w:tc>
          <w:tcPr/>
          <w:p>
            <w:pPr>
              <w:pStyle w:val="Compact"/>
              <w:jc w:val="left"/>
            </w:pPr>
            <w:r>
              <w:rPr>
                <w:bCs/>
                <w:b/>
              </w:rPr>
              <w:t xml:space="preserve">Vendor ID:</w:t>
            </w:r>
            <w:r>
              <w:t xml:space="preserve"> </w:t>
            </w:r>
            <w:r>
              <w:t xml:space="preserve">V-88214</w:t>
            </w:r>
          </w:p>
        </w:tc>
      </w:tr>
      <w:tr>
        <w:tc>
          <w:tcPr/>
          <w:p>
            <w:pPr>
              <w:pStyle w:val="Compact"/>
              <w:jc w:val="left"/>
            </w:pPr>
            <w:r>
              <w:rPr>
                <w:bCs/>
                <w:b/>
              </w:rPr>
              <w:t xml:space="preserve">Address:</w:t>
            </w:r>
            <w:r>
              <w:t xml:space="preserve"> </w:t>
            </w:r>
            <w:r>
              <w:t xml:space="preserve">1450 Bayview Avenue, Unit 300, Canada Toronto, Ontario M4G 2V9</w:t>
            </w:r>
          </w:p>
        </w:tc>
        <w:tc>
          <w:tcPr/>
          <w:p>
            <w:pPr>
              <w:pStyle w:val="Compact"/>
              <w:jc w:val="left"/>
            </w:pPr>
            <w:r>
              <w:rPr>
                <w:bCs/>
                <w:b/>
              </w:rPr>
              <w:t xml:space="preserve">Contact:</w:t>
            </w:r>
            <w:r>
              <w:t xml:space="preserve"> </w:t>
            </w:r>
            <w:r>
              <w:t xml:space="preserve">Mr. David Chen, Sales Director</w:t>
            </w:r>
          </w:p>
        </w:tc>
      </w:tr>
      <w:tr>
        <w:tc>
          <w:tcPr/>
          <w:p>
            <w:pPr>
              <w:pStyle w:val="Compact"/>
              <w:jc w:val="left"/>
            </w:pPr>
            <w:r>
              <w:rPr>
                <w:bCs/>
                <w:b/>
              </w:rPr>
              <w:t xml:space="preserve">Phone:</w:t>
            </w:r>
            <w:r>
              <w:t xml:space="preserve"> </w:t>
            </w:r>
            <w:r>
              <w:t xml:space="preserve">+1 (416) 555-0192</w:t>
            </w:r>
          </w:p>
        </w:tc>
        <w:tc>
          <w:tcPr/>
          <w:p>
            <w:pPr>
              <w:pStyle w:val="Compact"/>
              <w:jc w:val="left"/>
            </w:pPr>
            <w:r>
              <w:rPr>
                <w:bCs/>
                <w:b/>
              </w:rPr>
              <w:t xml:space="preserve">Email:</w:t>
            </w:r>
            <w:r>
              <w:t xml:space="preserve"> </w:t>
            </w:r>
            <w:r>
              <w:t xml:space="preserve">sales@precisionlab.ca</w:t>
            </w:r>
          </w:p>
        </w:tc>
      </w:tr>
    </w:tbl>
    <w:p>
      <w:pPr>
        <w:pStyle w:val="BodyText"/>
      </w:pPr>
      <w:r>
        <w:t xml:space="preserve">BILL TO / DELIVERY ADDRESS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Attn:</w:t>
            </w:r>
            <w:r>
              <w:t xml:space="preserve"> </w:t>
            </w:r>
            <w:r>
              <w:t xml:space="preserve">Dr. Elena Vasquez, PhD – Lead Medical Researcher</w:t>
            </w:r>
          </w:p>
        </w:tc>
        <w:tc>
          <w:tcPr/>
          <w:p>
            <w:pPr>
              <w:pStyle w:val="Compact"/>
              <w:jc w:val="left"/>
            </w:pPr>
            <w:r>
              <w:rPr>
                <w:bCs/>
                <w:b/>
              </w:rPr>
              <w:t xml:space="preserve">Delivery Location:</w:t>
            </w:r>
            <w:r>
              <w:t xml:space="preserve"> </w:t>
            </w:r>
            <w:r>
              <w:t xml:space="preserve">Research Wing B, Level 3</w:t>
            </w:r>
          </w:p>
        </w:tc>
      </w:tr>
      <w:tr>
        <w:tc>
          <w:tcPr/>
          <w:p>
            <w:pPr>
              <w:pStyle w:val="Compact"/>
              <w:jc w:val="left"/>
            </w:pPr>
            <w:r>
              <w:rPr>
                <w:bCs/>
                <w:b/>
              </w:rPr>
              <w:t xml:space="preserve">Address:</w:t>
            </w:r>
            <w:r>
              <w:t xml:space="preserve"> </w:t>
            </w:r>
            <w:r>
              <w:t xml:space="preserve">1 King's College Circle, Canada Toronto, Ontario M5S 1A8</w:t>
            </w:r>
          </w:p>
        </w:tc>
        <w:tc>
          <w:tcPr/>
          <w:p>
            <w:pPr>
              <w:pStyle w:val="Compact"/>
              <w:jc w:val="left"/>
            </w:pPr>
            <w:r>
              <w:rPr>
                <w:bCs/>
                <w:b/>
              </w:rPr>
              <w:t xml:space="preserve">Receiving Hours:</w:t>
            </w:r>
            <w:r>
              <w:t xml:space="preserve"> </w:t>
            </w:r>
            <w:r>
              <w:t xml:space="preserve">Monday – Friday, 08:00 – 16:00 EST</w:t>
            </w:r>
          </w:p>
        </w:tc>
      </w:tr>
    </w:tbl>
    <w:p>
      <w:pPr>
        <w:pStyle w:val="BodyText"/>
      </w:pPr>
      <w:r>
        <w:t xml:space="preserve">LINE ITEMS – RESEARCH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Part / SKU No.</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High-Throughput Next-Generation Sequencing Analyzer (Illumina NovaSeq X Plus) – required for genomic profiling by the Medical Researcher team</w:t>
            </w:r>
          </w:p>
        </w:tc>
        <w:tc>
          <w:tcPr/>
          <w:p>
            <w:pPr>
              <w:pStyle w:val="Compact"/>
              <w:jc w:val="left"/>
            </w:pPr>
            <w:r>
              <w:t xml:space="preserve">NGS-NSX-2025</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c>
          <w:tcPr/>
          <w:p>
            <w:pPr>
              <w:pStyle w:val="Compact"/>
              <w:jc w:val="left"/>
            </w:pPr>
            <w:r>
              <w:t xml:space="preserve">July 15, 2025</w:t>
            </w:r>
          </w:p>
        </w:tc>
      </w:tr>
      <w:tr>
        <w:tc>
          <w:tcPr/>
          <w:p>
            <w:pPr>
              <w:pStyle w:val="Compact"/>
              <w:jc w:val="left"/>
            </w:pPr>
            <w:r>
              <w:t xml:space="preserve">2</w:t>
            </w:r>
          </w:p>
        </w:tc>
        <w:tc>
          <w:tcPr/>
          <w:p>
            <w:pPr>
              <w:pStyle w:val="Compact"/>
              <w:jc w:val="left"/>
            </w:pPr>
            <w:r>
              <w:t xml:space="preserve">Real-Time PCR Thermal Cycler (Bio-Rad CFX Opus 96) – for quantitative gene expression assays</w:t>
            </w:r>
          </w:p>
        </w:tc>
        <w:tc>
          <w:tcPr/>
          <w:p>
            <w:pPr>
              <w:pStyle w:val="Compact"/>
              <w:jc w:val="left"/>
            </w:pPr>
            <w:r>
              <w:t xml:space="preserve">RT-PCR-CFX96</w:t>
            </w:r>
          </w:p>
        </w:tc>
        <w:tc>
          <w:tcPr/>
          <w:p>
            <w:pPr>
              <w:pStyle w:val="Compact"/>
              <w:jc w:val="left"/>
            </w:pPr>
            <w:r>
              <w:t xml:space="preserve">2</w:t>
            </w:r>
          </w:p>
        </w:tc>
        <w:tc>
          <w:tcPr/>
          <w:p>
            <w:pPr>
              <w:pStyle w:val="Compact"/>
              <w:jc w:val="left"/>
            </w:pPr>
            <w:r>
              <w:t xml:space="preserve">$28,500.00</w:t>
            </w:r>
          </w:p>
        </w:tc>
        <w:tc>
          <w:tcPr/>
          <w:p>
            <w:pPr>
              <w:pStyle w:val="Compact"/>
              <w:jc w:val="left"/>
            </w:pPr>
            <w:r>
              <w:t xml:space="preserve">$57,000.00</w:t>
            </w:r>
          </w:p>
        </w:tc>
        <w:tc>
          <w:tcPr/>
          <w:p>
            <w:pPr>
              <w:pStyle w:val="Compact"/>
              <w:jc w:val="left"/>
            </w:pPr>
            <w:r>
              <w:t xml:space="preserve">July 15, 2025</w:t>
            </w:r>
          </w:p>
        </w:tc>
      </w:tr>
      <w:tr>
        <w:tc>
          <w:tcPr/>
          <w:p>
            <w:pPr>
              <w:pStyle w:val="Compact"/>
              <w:jc w:val="left"/>
            </w:pPr>
            <w:r>
              <w:t xml:space="preserve">3</w:t>
            </w:r>
          </w:p>
        </w:tc>
        <w:tc>
          <w:tcPr/>
          <w:p>
            <w:pPr>
              <w:pStyle w:val="Compact"/>
              <w:jc w:val="left"/>
            </w:pPr>
            <w:r>
              <w:t xml:space="preserve">Automated Liquid Handling Workstation (Hamilton Microlab STAR) – for high-volume sample preparation</w:t>
            </w:r>
          </w:p>
        </w:tc>
        <w:tc>
          <w:tcPr/>
          <w:p>
            <w:pPr>
              <w:pStyle w:val="Compact"/>
              <w:jc w:val="left"/>
            </w:pPr>
            <w:r>
              <w:t xml:space="preserve">ALH-MLSTAR-96</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July 15, 2025</w:t>
            </w:r>
          </w:p>
        </w:tc>
      </w:tr>
      <w:tr>
        <w:tc>
          <w:tcPr/>
          <w:p>
            <w:pPr>
              <w:pStyle w:val="Compact"/>
              <w:jc w:val="left"/>
            </w:pPr>
            <w:r>
              <w:t xml:space="preserve">4</w:t>
            </w:r>
          </w:p>
        </w:tc>
        <w:tc>
          <w:tcPr/>
          <w:p>
            <w:pPr>
              <w:pStyle w:val="Compact"/>
              <w:jc w:val="left"/>
            </w:pPr>
            <w:r>
              <w:t xml:space="preserve">Cryogenic Sample Storage System (Thermo Fisher N2 Freezer, -150°C, 4,000 vial capacity)</w:t>
            </w:r>
          </w:p>
        </w:tc>
        <w:tc>
          <w:tcPr/>
          <w:p>
            <w:pPr>
              <w:pStyle w:val="Compact"/>
              <w:jc w:val="left"/>
            </w:pPr>
            <w:r>
              <w:t xml:space="preserve">CRYO-N2-4000</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c>
          <w:tcPr/>
          <w:p>
            <w:pPr>
              <w:pStyle w:val="Compact"/>
              <w:jc w:val="left"/>
            </w:pPr>
            <w:r>
              <w:t xml:space="preserve">July 15, 2025</w:t>
            </w:r>
          </w:p>
        </w:tc>
      </w:tr>
      <w:tr>
        <w:tc>
          <w:tcPr/>
          <w:p>
            <w:pPr>
              <w:pStyle w:val="Compact"/>
              <w:jc w:val="left"/>
            </w:pPr>
            <w:r>
              <w:t xml:space="preserve">5</w:t>
            </w:r>
          </w:p>
        </w:tc>
        <w:tc>
          <w:tcPr/>
          <w:p>
            <w:pPr>
              <w:pStyle w:val="Compact"/>
              <w:jc w:val="left"/>
            </w:pPr>
            <w:r>
              <w:t xml:space="preserve">Flow Cytometry Analyzer (BD FACSymphony A5) – for immunophenotyping in clinical trials</w:t>
            </w:r>
          </w:p>
        </w:tc>
        <w:tc>
          <w:tcPr/>
          <w:p>
            <w:pPr>
              <w:pStyle w:val="Compact"/>
              <w:jc w:val="left"/>
            </w:pPr>
            <w:r>
              <w:t xml:space="preserve">FC-BD-A5</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July 15, 2025</w:t>
            </w:r>
          </w:p>
        </w:tc>
      </w:tr>
      <w:tr>
        <w:tc>
          <w:tcPr/>
          <w:p>
            <w:pPr>
              <w:pStyle w:val="Compact"/>
              <w:jc w:val="left"/>
            </w:pPr>
            <w:r>
              <w:t xml:space="preserve">6</w:t>
            </w:r>
          </w:p>
        </w:tc>
        <w:tc>
          <w:tcPr/>
          <w:p>
            <w:pPr>
              <w:pStyle w:val="Compact"/>
              <w:jc w:val="left"/>
            </w:pPr>
            <w:r>
              <w:t xml:space="preserve">Reagent Kit – Whole Genome Amplification (Qiagen REPLI-g WGA, 500 rxn)</w:t>
            </w:r>
          </w:p>
        </w:tc>
        <w:tc>
          <w:tcPr/>
          <w:p>
            <w:pPr>
              <w:pStyle w:val="Compact"/>
              <w:jc w:val="left"/>
            </w:pPr>
            <w:r>
              <w:t xml:space="preserve">WGA-QG-500</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c>
          <w:tcPr/>
          <w:p>
            <w:pPr>
              <w:pStyle w:val="Compact"/>
              <w:jc w:val="left"/>
            </w:pPr>
            <w:r>
              <w:t xml:space="preserve">July 15, 2025</w:t>
            </w:r>
          </w:p>
        </w:tc>
      </w:tr>
      <w:tr>
        <w:tc>
          <w:tcPr/>
          <w:p>
            <w:pPr>
              <w:pStyle w:val="Compact"/>
              <w:jc w:val="left"/>
            </w:pPr>
            <w:r>
              <w:t xml:space="preserve">7</w:t>
            </w:r>
          </w:p>
        </w:tc>
        <w:tc>
          <w:tcPr/>
          <w:p>
            <w:pPr>
              <w:pStyle w:val="Compact"/>
              <w:jc w:val="left"/>
            </w:pPr>
            <w:r>
              <w:t xml:space="preserve">Cell Culture Media &amp; Reagents (Complete Growth Kit, 12-month supply for 6 cell lines)</w:t>
            </w:r>
          </w:p>
        </w:tc>
        <w:tc>
          <w:tcPr/>
          <w:p>
            <w:pPr>
              <w:pStyle w:val="Compact"/>
              <w:jc w:val="left"/>
            </w:pPr>
            <w:r>
              <w:t xml:space="preserve">CCM-GK-12M</w:t>
            </w:r>
          </w:p>
        </w:tc>
        <w:tc>
          <w:tcPr/>
          <w:p>
            <w:pPr>
              <w:pStyle w:val="Compact"/>
              <w:jc w:val="left"/>
            </w:pPr>
            <w:r>
              <w:t xml:space="preserve">6</w:t>
            </w:r>
          </w:p>
        </w:tc>
        <w:tc>
          <w:tcPr/>
          <w:p>
            <w:pPr>
              <w:pStyle w:val="Compact"/>
              <w:jc w:val="left"/>
            </w:pPr>
            <w:r>
              <w:t xml:space="preserve">$4,850.00</w:t>
            </w:r>
          </w:p>
        </w:tc>
        <w:tc>
          <w:tcPr/>
          <w:p>
            <w:pPr>
              <w:pStyle w:val="Compact"/>
              <w:jc w:val="left"/>
            </w:pPr>
            <w:r>
              <w:t xml:space="preserve">$29,100.00</w:t>
            </w:r>
          </w:p>
        </w:tc>
        <w:tc>
          <w:tcPr/>
          <w:p>
            <w:pPr>
              <w:pStyle w:val="Compact"/>
              <w:jc w:val="left"/>
            </w:pPr>
            <w:r>
              <w:t xml:space="preserve">July 15, 2025</w:t>
            </w:r>
          </w:p>
        </w:tc>
      </w:tr>
      <w:tr>
        <w:tc>
          <w:tcPr/>
          <w:p>
            <w:pPr>
              <w:pStyle w:val="Compact"/>
              <w:jc w:val="left"/>
            </w:pPr>
            <w:r>
              <w:t xml:space="preserve">8</w:t>
            </w:r>
          </w:p>
        </w:tc>
        <w:tc>
          <w:tcPr/>
          <w:p>
            <w:pPr>
              <w:pStyle w:val="Compact"/>
              <w:jc w:val="left"/>
            </w:pPr>
            <w:r>
              <w:t xml:space="preserve">Biomedical Waste Disposal Service – Annual Contract (compliant with Ontario Ministry of the Environment regulations)</w:t>
            </w:r>
          </w:p>
        </w:tc>
        <w:tc>
          <w:tcPr/>
          <w:p>
            <w:pPr>
              <w:pStyle w:val="Compact"/>
              <w:jc w:val="left"/>
            </w:pPr>
            <w:r>
              <w:t xml:space="preserve">BWD-ONT-ANNUAL</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July 15, 2025</w:t>
            </w:r>
          </w:p>
        </w:tc>
      </w:tr>
      <w:tr>
        <w:tc>
          <w:tcPr/>
          <w:p>
            <w:pPr>
              <w:pStyle w:val="Compact"/>
              <w:jc w:val="left"/>
            </w:pPr>
            <w:r>
              <w:t xml:space="preserve">9</w:t>
            </w:r>
          </w:p>
        </w:tc>
        <w:tc>
          <w:tcPr/>
          <w:p>
            <w:pPr>
              <w:pStyle w:val="Compact"/>
              <w:jc w:val="left"/>
            </w:pPr>
            <w:r>
              <w:t xml:space="preserve">Software License – Bioinformatics Pipeline (GATK + Galaxy, 5-user institutional license, 3-year term)</w:t>
            </w:r>
          </w:p>
        </w:tc>
        <w:tc>
          <w:tcPr/>
          <w:p>
            <w:pPr>
              <w:pStyle w:val="Compact"/>
              <w:jc w:val="left"/>
            </w:pPr>
            <w:r>
              <w:t xml:space="preserve">SW-BIO-5U-3Y</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c>
          <w:tcPr/>
          <w:p>
            <w:pPr>
              <w:pStyle w:val="Compact"/>
              <w:jc w:val="left"/>
            </w:pPr>
            <w:r>
              <w:t xml:space="preserve">July 15, 2025</w:t>
            </w:r>
          </w:p>
        </w:tc>
      </w:tr>
      <w:tr>
        <w:tc>
          <w:tcPr/>
          <w:p>
            <w:pPr>
              <w:pStyle w:val="Compact"/>
              <w:jc w:val="left"/>
            </w:pPr>
            <w:r>
              <w:t xml:space="preserve">10</w:t>
            </w:r>
          </w:p>
        </w:tc>
        <w:tc>
          <w:tcPr/>
          <w:p>
            <w:pPr>
              <w:pStyle w:val="Compact"/>
              <w:jc w:val="left"/>
            </w:pPr>
            <w:r>
              <w:t xml:space="preserve">Installation, Calibration &amp; Training Services – on-site at Canada Toronto laboratory facility (includes 2-day training for Medical Researcher staff)</w:t>
            </w:r>
          </w:p>
        </w:tc>
        <w:tc>
          <w:tcPr/>
          <w:p>
            <w:pPr>
              <w:pStyle w:val="Compact"/>
              <w:jc w:val="left"/>
            </w:pPr>
            <w:r>
              <w:t xml:space="preserve">SVC-INST-TRN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July 15,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$2,122,600.00</w:t>
            </w:r>
          </w:p>
        </w:tc>
      </w:tr>
      <w:tr>
        <w:tc>
          <w:tcPr/>
          <w:p>
            <w:pPr>
              <w:pStyle w:val="Compact"/>
              <w:jc w:val="left"/>
            </w:pPr>
            <w:r>
              <w:t xml:space="preserve">HST (13% – Ontario, Canada)</w:t>
            </w:r>
          </w:p>
        </w:tc>
        <w:tc>
          <w:tcPr/>
          <w:p>
            <w:pPr>
              <w:pStyle w:val="Compact"/>
              <w:jc w:val="right"/>
            </w:pPr>
            <w:r>
              <w:t xml:space="preserve">$275,938.00</w:t>
            </w:r>
          </w:p>
        </w:tc>
      </w:tr>
      <w:tr>
        <w:tc>
          <w:tcPr/>
          <w:p>
            <w:pPr>
              <w:pStyle w:val="Compact"/>
              <w:jc w:val="left"/>
            </w:pPr>
            <w:r>
              <w:t xml:space="preserve">Shipping &amp; Handling (DDP Canada Toronto)</w:t>
            </w:r>
          </w:p>
        </w:tc>
        <w:tc>
          <w:tcPr/>
          <w:p>
            <w:pPr>
              <w:pStyle w:val="Compact"/>
              <w:jc w:val="right"/>
            </w:pPr>
            <w:r>
              <w:t xml:space="preserve">$12,400.00</w:t>
            </w:r>
          </w:p>
        </w:tc>
      </w:tr>
      <w:tr>
        <w:tc>
          <w:tcPr/>
          <w:p>
            <w:pPr>
              <w:pStyle w:val="Compact"/>
              <w:jc w:val="left"/>
            </w:pPr>
            <w:r>
              <w:t xml:space="preserve">GRAND TOTAL (CAD)</w:t>
            </w:r>
          </w:p>
        </w:tc>
        <w:tc>
          <w:tcPr/>
          <w:p>
            <w:pPr>
              <w:pStyle w:val="Compact"/>
              <w:jc w:val="right"/>
            </w:pPr>
            <w:r>
              <w:t xml:space="preserve">$2,410,938.00</w:t>
            </w:r>
          </w:p>
        </w:tc>
      </w:tr>
    </w:tbl>
    <w:p>
      <w:pPr>
        <w:pStyle w:val="BodyText"/>
      </w:pPr>
      <w:r>
        <w:rPr>
          <w:bCs/>
          <w:b/>
        </w:rPr>
        <w:t xml:space="preserve">NOTE:</w:t>
      </w:r>
      <w:r>
        <w:t xml:space="preserve"> </w:t>
      </w:r>
      <w:r>
        <w:t xml:space="preserve">This Purchase Order is issued in support of the Phase III clinical research programme led by Dr. Elena Vasquez, PhD, a senior Medical Researcher specializing in molecular oncology. All equipment and materials listed herein are to be delivered, installed, and calibrated at the University of Toronto research facility located in Canada Toronto. The Medical Researcher and her team require full operational readiness of all instruments by the stated delivery date to maintain the approved research timeline funded by the Canadian Institutes of Health Research (CIHR) Grant No. CIHR-2025-ON-7741.</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vendor. The vendor shall confirm acceptance in writing within five (5) business days of receipt of this document.</w:t>
      </w:r>
    </w:p>
    <w:p>
      <w:pPr>
        <w:numPr>
          <w:ilvl w:val="0"/>
          <w:numId w:val="1001"/>
        </w:numPr>
        <w:pStyle w:val="Compact"/>
      </w:pPr>
      <w:r>
        <w:rPr>
          <w:bCs/>
          <w:b/>
        </w:rPr>
        <w:t xml:space="preserve">Delivery:</w:t>
      </w:r>
      <w:r>
        <w:t xml:space="preserve"> </w:t>
      </w:r>
      <w:r>
        <w:t xml:space="preserve">All items shall be delivered DDP (Delivered Duty Paid) to the specified address in Canada Toronto. Risk of loss transfers to the buyer upon physical delivery and acceptance at the receiving dock. Late delivery beyond the stated date shall incur a penalty of 0.5% of the total Purchase Order value per calendar day, capped at 5%.</w:t>
      </w:r>
    </w:p>
    <w:p>
      <w:pPr>
        <w:numPr>
          <w:ilvl w:val="0"/>
          <w:numId w:val="1001"/>
        </w:numPr>
        <w:pStyle w:val="Compact"/>
      </w:pPr>
      <w:r>
        <w:rPr>
          <w:bCs/>
          <w:b/>
        </w:rPr>
        <w:t xml:space="preserve">Quality &amp; Compliance:</w:t>
      </w:r>
      <w:r>
        <w:t xml:space="preserve"> </w:t>
      </w:r>
      <w:r>
        <w:t xml:space="preserve">All equipment must comply with Health Canada regulatory standards, ISO 13485 medical device quality management requirements, and the Ontario Occupational Health and Safety Act. The Medical Researcher's laboratory is subject to periodic audits by the University of Toronto Research Ethics Board (REB), and all procured items must meet institutional compliance criteria.</w:t>
      </w:r>
    </w:p>
    <w:p>
      <w:pPr>
        <w:numPr>
          <w:ilvl w:val="0"/>
          <w:numId w:val="1001"/>
        </w:numPr>
        <w:pStyle w:val="Compact"/>
      </w:pPr>
      <w:r>
        <w:rPr>
          <w:bCs/>
          <w:b/>
        </w:rPr>
        <w:t xml:space="preserve">Warranty:</w:t>
      </w:r>
      <w:r>
        <w:t xml:space="preserve"> </w:t>
      </w:r>
      <w:r>
        <w:t xml:space="preserve">The vendor shall provide a minimum two-year comprehensive warranty on all capital equipment, including parts, labour, and on-site service calls within Canada Toronto. Consumable reagents carry a shelf-life guarantee of no less than twelve (12) months from the date of delivery.</w:t>
      </w:r>
    </w:p>
    <w:p>
      <w:pPr>
        <w:numPr>
          <w:ilvl w:val="0"/>
          <w:numId w:val="1001"/>
        </w:numPr>
        <w:pStyle w:val="Compact"/>
      </w:pPr>
      <w:r>
        <w:rPr>
          <w:bCs/>
          <w:b/>
        </w:rPr>
        <w:t xml:space="preserve">Payment:</w:t>
      </w:r>
      <w:r>
        <w:t xml:space="preserve"> </w:t>
      </w:r>
      <w:r>
        <w:t xml:space="preserve">Payment shall be made via electronic funds transfer (EFT) within forty-five (45) days of receipt of a valid tax invoice. Invoices must reference this Purchase Order number (PO-2025-MR-04872) and include the vendor's Business Number for HST remittance purposes under the Canada Revenue Agency (CRA) guidelines.</w:t>
      </w:r>
    </w:p>
    <w:p>
      <w:pPr>
        <w:numPr>
          <w:ilvl w:val="0"/>
          <w:numId w:val="1001"/>
        </w:numPr>
        <w:pStyle w:val="Compact"/>
      </w:pPr>
      <w:r>
        <w:rPr>
          <w:bCs/>
          <w:b/>
        </w:rPr>
        <w:t xml:space="preserve">Intellectual Property:</w:t>
      </w:r>
      <w:r>
        <w:t xml:space="preserve"> </w:t>
      </w:r>
      <w:r>
        <w:t xml:space="preserve">All research data generated using the procured equipment remains the sole property of the University of Toronto and the designated Medical Researcher. The vendor shall not claim any rights over research outputs, publications, or derivative data.</w:t>
      </w:r>
    </w:p>
    <w:p>
      <w:pPr>
        <w:numPr>
          <w:ilvl w:val="0"/>
          <w:numId w:val="1001"/>
        </w:numPr>
        <w:pStyle w:val="Compact"/>
      </w:pPr>
      <w:r>
        <w:rPr>
          <w:bCs/>
          <w:b/>
        </w:rPr>
        <w:t xml:space="preserve">Confidentiality:</w:t>
      </w:r>
      <w:r>
        <w:t xml:space="preserve"> </w:t>
      </w:r>
      <w:r>
        <w:t xml:space="preserve">The vendor acknowledges that the research programme is subject to a non-disclosure agreement. No details of the Medical Researcher's ongoing studies, patient data, or proprietary methodologies may be disclosed to third parties without written consent from the University of Toronto Office of Research Services.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therein. Any disputes shall be resolved through arbitration in Canada Toronto under the rules of the Arbitration Association of Canada.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delivery within Canada Toronto.</w:t>
      </w:r>
    </w:p>
    <w:p>
      <w:pPr>
        <w:numPr>
          <w:ilvl w:val="0"/>
          <w:numId w:val="1001"/>
        </w:numPr>
        <w:pStyle w:val="Compact"/>
      </w:pPr>
      <w:r>
        <w:rPr>
          <w:bCs/>
          <w:b/>
        </w:rPr>
        <w:t xml:space="preserve">Amendments:</w:t>
      </w:r>
      <w:r>
        <w:t xml:space="preserve"> </w:t>
      </w:r>
      <w:r>
        <w:t xml:space="preserve">Any modification to this Purchase Order must be made in writing and signed by both the authorized representative of the University of Toronto and the vendor. Verbal or email-only changes are not valid.</w:t>
      </w:r>
    </w:p>
    <w:p>
      <w:pPr>
        <w:pStyle w:val="FirstParagraph"/>
      </w:pPr>
      <w:r>
        <w:t xml:space="preserve">AUTHORIZATION AND SIGNATURES</w:t>
      </w:r>
    </w:p>
    <w:p>
      <w:pPr>
        <w:pStyle w:val="BodyText"/>
      </w:pPr>
      <w:r>
        <w:rPr>
          <w:bCs/>
          <w:b/>
        </w:rPr>
        <w:t xml:space="preserve">Prepared by (Buyer):</w:t>
      </w:r>
    </w:p>
    <w:p>
      <w:pPr>
        <w:pStyle w:val="BodyText"/>
      </w:pPr>
      <w:r>
        <w:t xml:space="preserve">Dr. Elena Vasquez, PhD</w:t>
      </w:r>
      <w:r>
        <w:br/>
      </w:r>
      <w:r>
        <w:t xml:space="preserve">Lead Medical Researcher</w:t>
      </w:r>
      <w:r>
        <w:br/>
      </w:r>
      <w:r>
        <w:t xml:space="preserve">Department of Molecular Oncology &amp; Genomics</w:t>
      </w:r>
      <w:r>
        <w:br/>
      </w:r>
      <w:r>
        <w:t xml:space="preserve">University of Toronto, Canada Toronto</w:t>
      </w:r>
    </w:p>
    <w:p>
      <w:pPr>
        <w:pStyle w:val="BodyText"/>
      </w:pPr>
      <w:r>
        <w:t xml:space="preserve">Signature &amp; Date</w:t>
      </w:r>
    </w:p>
    <w:p>
      <w:pPr>
        <w:pStyle w:val="BodyText"/>
      </w:pPr>
      <w:r>
        <w:rPr>
          <w:bCs/>
          <w:b/>
        </w:rPr>
        <w:t xml:space="preserve">Approved by (Procurement):</w:t>
      </w:r>
    </w:p>
    <w:p>
      <w:pPr>
        <w:pStyle w:val="BodyText"/>
      </w:pPr>
      <w:r>
        <w:t xml:space="preserve">Ms. Sarah Okafor</w:t>
      </w:r>
      <w:r>
        <w:br/>
      </w:r>
      <w:r>
        <w:t xml:space="preserve">Senior Procurement Officer</w:t>
      </w:r>
      <w:r>
        <w:br/>
      </w:r>
      <w:r>
        <w:t xml:space="preserve">Office of Research Services</w:t>
      </w:r>
      <w:r>
        <w:br/>
      </w:r>
      <w:r>
        <w:t xml:space="preserve">University of Toronto, Canada Toronto</w:t>
      </w:r>
    </w:p>
    <w:p>
      <w:pPr>
        <w:pStyle w:val="BodyText"/>
      </w:pPr>
      <w:r>
        <w:t xml:space="preserve">Signature &amp; Date</w:t>
      </w:r>
    </w:p>
    <w:p>
      <w:pPr>
        <w:pStyle w:val="BodyText"/>
      </w:pPr>
      <w:r>
        <w:rPr>
          <w:bCs/>
          <w:b/>
        </w:rPr>
        <w:t xml:space="preserve">Accepted by (Vendor):</w:t>
      </w:r>
    </w:p>
    <w:p>
      <w:pPr>
        <w:pStyle w:val="BodyText"/>
      </w:pPr>
      <w:r>
        <w:t xml:space="preserve">Mr. David Chen</w:t>
      </w:r>
      <w:r>
        <w:br/>
      </w:r>
      <w:r>
        <w:t xml:space="preserve">Sales Director</w:t>
      </w:r>
      <w:r>
        <w:br/>
      </w:r>
      <w:r>
        <w:t xml:space="preserve">PrecisionLab Scientific Instruments Inc.</w:t>
      </w:r>
      <w:r>
        <w:br/>
      </w:r>
      <w:r>
        <w:t xml:space="preserve">Canada Toronto, Ontario</w:t>
      </w:r>
    </w:p>
    <w:p>
      <w:pPr>
        <w:pStyle w:val="BodyText"/>
      </w:pPr>
      <w:r>
        <w:t xml:space="preserve">Signature &amp; Date</w:t>
      </w:r>
    </w:p>
    <w:p>
      <w:pPr>
        <w:pStyle w:val="BodyText"/>
      </w:pPr>
      <w:r>
        <w:rPr>
          <w:bCs/>
          <w:b/>
        </w:rPr>
        <w:t xml:space="preserve">Financial Review:</w:t>
      </w:r>
    </w:p>
    <w:p>
      <w:pPr>
        <w:pStyle w:val="BodyText"/>
      </w:pPr>
      <w:r>
        <w:t xml:space="preserve">Mr. James Whitfield, CPA</w:t>
      </w:r>
      <w:r>
        <w:br/>
      </w:r>
      <w:r>
        <w:t xml:space="preserve">Director of Finance</w:t>
      </w:r>
      <w:r>
        <w:br/>
      </w:r>
      <w:r>
        <w:t xml:space="preserve">University of Toronto</w:t>
      </w:r>
      <w:r>
        <w:br/>
      </w:r>
      <w:r>
        <w:t xml:space="preserve">Canada Toronto, Ontario</w:t>
      </w:r>
    </w:p>
    <w:p>
      <w:pPr>
        <w:pStyle w:val="BodyText"/>
      </w:pPr>
      <w:r>
        <w:t xml:space="preserve">Signature &amp; Date</w:t>
      </w:r>
    </w:p>
    <w:p>
      <w:pPr>
        <w:pStyle w:val="BodyText"/>
      </w:pPr>
      <w:r>
        <w:t xml:space="preserve">This Purchase Order (PO-2025-MR-04872) was generated by the University of Toronto Procurement System. All transactions are subject to the Financial Administration Policy of the University of Toronto and applicable Canadian federal and provincial regulations. For inquiries regarding this Purchase Order, contact the Office of Research Services at procurement@medresearch.utoronto.ca or +1 (416) 978-5000, Canada Toronto, Ontario M5S 1A8.</w:t>
      </w:r>
    </w:p>
    <w:p>
      <w:pPr>
        <w:pStyle w:val="BodyText"/>
      </w:pPr>
      <w:r>
        <w:t xml:space="preserve">© 2025 University of Toronto – Faculty of Medicine. All rights reserved. Document Classification: Internal – Research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Canada Toronto</dc:title>
  <dc:creator/>
  <dc:language>en</dc:language>
  <cp:keywords/>
  <dcterms:created xsi:type="dcterms:W3CDTF">2026-10-10T03:15:48Z</dcterms:created>
  <dcterms:modified xsi:type="dcterms:W3CDTF">2026-10-10T03:15:48Z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