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Instituto de Investigación Médica de Santiago</w:t>
      </w:r>
    </w:p>
    <w:p>
      <w:pPr>
        <w:pStyle w:val="BodyText"/>
      </w:pPr>
      <w:r>
        <w:t xml:space="preserve">Av. Providencia 1250, Of. 801, Providencia, Santiago, Chile</w:t>
      </w:r>
    </w:p>
    <w:p>
      <w:pPr>
        <w:pStyle w:val="BodyText"/>
      </w:pPr>
      <w:r>
        <w:t xml:space="preserve">Phone: +56 2 2345 6789 | Email: procurement@iimsantiago.cl</w:t>
      </w:r>
    </w:p>
    <w:p>
      <w:pPr>
        <w:pStyle w:val="BodyText"/>
      </w:pPr>
      <w:r>
        <w:t xml:space="preserve">RUT: 76.543.210-K | SII Registered Entity</w:t>
      </w:r>
    </w:p>
    <w:bookmarkEnd w:id="20"/>
    <w:p>
      <w:pPr>
        <w:pStyle w:val="BodyText"/>
      </w:pPr>
      <w:r>
        <w:rPr>
          <w:bCs/>
          <w:b/>
        </w:rPr>
        <w:t xml:space="preserve">Purchase Order No.:</w:t>
      </w:r>
      <w:r>
        <w:t xml:space="preserve"> </w:t>
      </w:r>
      <w:r>
        <w:t xml:space="preserve">PO-2025-MSR-0472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CLP (Chilean Pesos)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Instituto de Investigación Médica de Santiago</w:t>
            </w:r>
          </w:p>
        </w:tc>
        <w:tc>
          <w:tcPr/>
          <w:p>
            <w:pPr>
              <w:pStyle w:val="Compact"/>
              <w:jc w:val="left"/>
            </w:pPr>
            <w:r>
              <w:rPr>
                <w:bCs/>
                <w:b/>
              </w:rPr>
              <w:t xml:space="preserve">Department:</w:t>
            </w:r>
            <w:r>
              <w:t xml:space="preserve"> </w:t>
            </w:r>
            <w:r>
              <w:t xml:space="preserve">Department of Clinical &amp; Translational Research</w:t>
            </w:r>
          </w:p>
        </w:tc>
      </w:tr>
      <w:tr>
        <w:tc>
          <w:tcPr/>
          <w:p>
            <w:pPr>
              <w:pStyle w:val="Compact"/>
              <w:jc w:val="left"/>
            </w:pPr>
            <w:r>
              <w:rPr>
                <w:bCs/>
                <w:b/>
              </w:rPr>
              <w:t xml:space="preserve">Principal Investigator:</w:t>
            </w:r>
            <w:r>
              <w:t xml:space="preserve"> </w:t>
            </w:r>
            <w:r>
              <w:t xml:space="preserve">Dr. Valentina Rojas Mendoza, Medical Researcher</w:t>
            </w:r>
          </w:p>
        </w:tc>
        <w:tc>
          <w:tcPr/>
          <w:p>
            <w:pPr>
              <w:pStyle w:val="Compact"/>
              <w:jc w:val="left"/>
            </w:pPr>
            <w:r>
              <w:rPr>
                <w:bCs/>
                <w:b/>
              </w:rPr>
              <w:t xml:space="preserve">Project Code:</w:t>
            </w:r>
            <w:r>
              <w:t xml:space="preserve"> </w:t>
            </w:r>
            <w:r>
              <w:t xml:space="preserve">MR-CHL-2025-019</w:t>
            </w:r>
          </w:p>
        </w:tc>
      </w:tr>
      <w:tr>
        <w:tc>
          <w:tcPr/>
          <w:p>
            <w:pPr>
              <w:pStyle w:val="Compact"/>
              <w:jc w:val="left"/>
            </w:pPr>
            <w:r>
              <w:rPr>
                <w:bCs/>
                <w:b/>
              </w:rPr>
              <w:t xml:space="preserve">Address:</w:t>
            </w:r>
            <w:r>
              <w:t xml:space="preserve"> </w:t>
            </w:r>
            <w:r>
              <w:t xml:space="preserve">Av. Providencia 1250, Of. 801, Providencia, Santiago, Chile</w:t>
            </w:r>
          </w:p>
        </w:tc>
        <w:tc>
          <w:tcPr/>
          <w:p>
            <w:pPr>
              <w:pStyle w:val="Compact"/>
              <w:jc w:val="left"/>
            </w:pPr>
            <w:r>
              <w:rPr>
                <w:bCs/>
                <w:b/>
              </w:rPr>
              <w:t xml:space="preserve">Contact:</w:t>
            </w:r>
            <w:r>
              <w:t xml:space="preserve"> </w:t>
            </w:r>
            <w:r>
              <w:t xml:space="preserve">procurement@iimsantiago.cl</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BioLab Supply Chile SpA</w:t>
            </w:r>
          </w:p>
        </w:tc>
        <w:tc>
          <w:tcPr/>
          <w:p>
            <w:pPr>
              <w:pStyle w:val="Compact"/>
              <w:jc w:val="left"/>
            </w:pPr>
            <w:r>
              <w:rPr>
                <w:bCs/>
                <w:b/>
              </w:rPr>
              <w:t xml:space="preserve">RUT:</w:t>
            </w:r>
            <w:r>
              <w:t xml:space="preserve"> </w:t>
            </w:r>
            <w:r>
              <w:t xml:space="preserve">78.123.456-7</w:t>
            </w:r>
          </w:p>
        </w:tc>
      </w:tr>
      <w:tr>
        <w:tc>
          <w:tcPr/>
          <w:p>
            <w:pPr>
              <w:pStyle w:val="Compact"/>
              <w:jc w:val="left"/>
            </w:pPr>
            <w:r>
              <w:rPr>
                <w:bCs/>
                <w:b/>
              </w:rPr>
              <w:t xml:space="preserve">Address:</w:t>
            </w:r>
            <w:r>
              <w:t xml:space="preserve"> </w:t>
            </w:r>
            <w:r>
              <w:t xml:space="preserve">Camino El Mirador 1850, Pudahuel, Santiago, Chile</w:t>
            </w:r>
          </w:p>
        </w:tc>
        <w:tc>
          <w:tcPr/>
          <w:p>
            <w:pPr>
              <w:pStyle w:val="Compact"/>
              <w:jc w:val="left"/>
            </w:pPr>
            <w:r>
              <w:rPr>
                <w:bCs/>
                <w:b/>
              </w:rPr>
              <w:t xml:space="preserve">Contact:</w:t>
            </w:r>
            <w:r>
              <w:t xml:space="preserve"> </w:t>
            </w:r>
            <w:r>
              <w:t xml:space="preserve">ventas@biolabchile.cl</w:t>
            </w:r>
          </w:p>
        </w:tc>
      </w:tr>
      <w:tr>
        <w:tc>
          <w:tcPr/>
          <w:p>
            <w:pPr>
              <w:pStyle w:val="Compact"/>
              <w:jc w:val="left"/>
            </w:pPr>
            <w:r>
              <w:rPr>
                <w:bCs/>
                <w:b/>
              </w:rPr>
              <w:t xml:space="preserve">Phone:</w:t>
            </w:r>
            <w:r>
              <w:t xml:space="preserve"> </w:t>
            </w:r>
            <w:r>
              <w:t xml:space="preserve">+56 2 2987 6543</w:t>
            </w:r>
          </w:p>
        </w:tc>
        <w:tc>
          <w:tcPr/>
          <w:p>
            <w:pPr>
              <w:pStyle w:val="Compact"/>
              <w:jc w:val="left"/>
            </w:pPr>
            <w:r>
              <w:rPr>
                <w:bCs/>
                <w:b/>
              </w:rPr>
              <w:t xml:space="preserve">Account Rep:</w:t>
            </w:r>
            <w:r>
              <w:t xml:space="preserve"> </w:t>
            </w:r>
            <w:r>
              <w:t xml:space="preserve">Sr. Carlos Fuentes</w:t>
            </w:r>
          </w:p>
        </w:tc>
      </w:tr>
    </w:tbl>
    <w:bookmarkEnd w:id="22"/>
    <w:bookmarkStart w:id="23" w:name="purchase-order-line-items"/>
    <w:p>
      <w:pPr>
        <w:pStyle w:val="Heading2"/>
      </w:pPr>
      <w:r>
        <w:t xml:space="preserve">3. Purchase Order Line Items</w:t>
      </w:r>
    </w:p>
    <w:p>
      <w:pPr>
        <w:pStyle w:val="FirstParagraph"/>
      </w:pPr>
      <w:r>
        <w:t xml:space="preserve">This Purchase Order is issued to support the ongoing research program led by Dr. Valentina Rojas Mendoza, a</w:t>
      </w:r>
      <w:r>
        <w:t xml:space="preserve"> </w:t>
      </w:r>
      <w:r>
        <w:t xml:space="preserve">Medical Researcher</w:t>
      </w:r>
      <w:r>
        <w:t xml:space="preserve"> </w:t>
      </w:r>
      <w:r>
        <w:t xml:space="preserve">specializing in oncology biomarkers and regenerative medicine. The items listed below are essential for the continuation of the clinical trial protocol approved by the Comisión Nacional de Investigación Científica y Tecnológica (CONICYT) and are to be delivered to the laboratory facilities located in</w:t>
      </w:r>
      <w:r>
        <w:t xml:space="preserve"> </w:t>
      </w:r>
      <w:r>
        <w:t xml:space="preserve">Chile Santiago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001</w:t>
            </w:r>
          </w:p>
        </w:tc>
        <w:tc>
          <w:tcPr/>
          <w:p>
            <w:pPr>
              <w:pStyle w:val="Compact"/>
              <w:jc w:val="left"/>
            </w:pPr>
            <w:r>
              <w:t xml:space="preserve">Real-Time PCR Thermal Cycler (Applied Biosystems 7500 Fast System) – for gene expression analysis in the Medical Researcher's oncology panel</w:t>
            </w:r>
          </w:p>
        </w:tc>
        <w:tc>
          <w:tcPr/>
          <w:p>
            <w:pPr>
              <w:pStyle w:val="Compact"/>
              <w:jc w:val="left"/>
            </w:pPr>
            <w:r>
              <w:t xml:space="preserve">1</w:t>
            </w:r>
          </w:p>
        </w:tc>
        <w:tc>
          <w:tcPr/>
          <w:p>
            <w:pPr>
              <w:pStyle w:val="Compact"/>
              <w:jc w:val="left"/>
            </w:pPr>
            <w:r>
              <w:t xml:space="preserve">8,450,000</w:t>
            </w:r>
          </w:p>
        </w:tc>
        <w:tc>
          <w:tcPr/>
          <w:p>
            <w:pPr>
              <w:pStyle w:val="Compact"/>
              <w:jc w:val="left"/>
            </w:pPr>
            <w:r>
              <w:t xml:space="preserve">8,450,000</w:t>
            </w:r>
          </w:p>
        </w:tc>
      </w:tr>
      <w:tr>
        <w:tc>
          <w:tcPr/>
          <w:p>
            <w:pPr>
              <w:pStyle w:val="Compact"/>
              <w:jc w:val="left"/>
            </w:pPr>
            <w:r>
              <w:t xml:space="preserve">002</w:t>
            </w:r>
          </w:p>
        </w:tc>
        <w:tc>
          <w:tcPr/>
          <w:p>
            <w:pPr>
              <w:pStyle w:val="Compact"/>
              <w:jc w:val="left"/>
            </w:pPr>
            <w:r>
              <w:t xml:space="preserve">Monoclonal Antibody Kit – CD4/CD8/CD19/CD20 (100 tests per kit), required for immunophenotyping assays</w:t>
            </w:r>
          </w:p>
        </w:tc>
        <w:tc>
          <w:tcPr/>
          <w:p>
            <w:pPr>
              <w:pStyle w:val="Compact"/>
              <w:jc w:val="left"/>
            </w:pPr>
            <w:r>
              <w:t xml:space="preserve">12</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003</w:t>
            </w:r>
          </w:p>
        </w:tc>
        <w:tc>
          <w:tcPr/>
          <w:p>
            <w:pPr>
              <w:pStyle w:val="Compact"/>
              <w:jc w:val="left"/>
            </w:pPr>
            <w:r>
              <w:t xml:space="preserve">Cell Culture Media – DMEM High Glucose with 10% FBS (500 mL bottles), for in vitro cell line maintenance</w:t>
            </w:r>
          </w:p>
        </w:tc>
        <w:tc>
          <w:tcPr/>
          <w:p>
            <w:pPr>
              <w:pStyle w:val="Compact"/>
              <w:jc w:val="left"/>
            </w:pPr>
            <w:r>
              <w:t xml:space="preserve">48</w:t>
            </w:r>
          </w:p>
        </w:tc>
        <w:tc>
          <w:tcPr/>
          <w:p>
            <w:pPr>
              <w:pStyle w:val="Compact"/>
              <w:jc w:val="left"/>
            </w:pPr>
            <w:r>
              <w:t xml:space="preserve">92,500</w:t>
            </w:r>
          </w:p>
        </w:tc>
        <w:tc>
          <w:tcPr/>
          <w:p>
            <w:pPr>
              <w:pStyle w:val="Compact"/>
              <w:jc w:val="left"/>
            </w:pPr>
            <w:r>
              <w:t xml:space="preserve">4,440,000</w:t>
            </w:r>
          </w:p>
        </w:tc>
      </w:tr>
      <w:tr>
        <w:tc>
          <w:tcPr/>
          <w:p>
            <w:pPr>
              <w:pStyle w:val="Compact"/>
              <w:jc w:val="left"/>
            </w:pPr>
            <w:r>
              <w:t xml:space="preserve">004</w:t>
            </w:r>
          </w:p>
        </w:tc>
        <w:tc>
          <w:tcPr/>
          <w:p>
            <w:pPr>
              <w:pStyle w:val="Compact"/>
              <w:jc w:val="left"/>
            </w:pPr>
            <w:r>
              <w:t xml:space="preserve">Centrifuge – Refrigerated Microcentrifuge (Eppendorf 5424 R), for sample preparation in the Medical Researcher's lab</w:t>
            </w:r>
          </w:p>
        </w:tc>
        <w:tc>
          <w:tcPr/>
          <w:p>
            <w:pPr>
              <w:pStyle w:val="Compact"/>
              <w:jc w:val="left"/>
            </w:pPr>
            <w:r>
              <w:t xml:space="preserve">2</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005</w:t>
            </w:r>
          </w:p>
        </w:tc>
        <w:tc>
          <w:tcPr/>
          <w:p>
            <w:pPr>
              <w:pStyle w:val="Compact"/>
              <w:jc w:val="left"/>
            </w:pPr>
            <w:r>
              <w:t xml:space="preserve">Nitrile Examination Gloves – Size M (Box of 100), for biosafety compliance in the Chile Santiago laboratory</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006</w:t>
            </w:r>
          </w:p>
        </w:tc>
        <w:tc>
          <w:tcPr/>
          <w:p>
            <w:pPr>
              <w:pStyle w:val="Compact"/>
              <w:jc w:val="left"/>
            </w:pPr>
            <w:r>
              <w:t xml:space="preserve">ELISA Microplate Reader – Spectrophotometric (Molecular Devices SpectraMax M5)</w:t>
            </w:r>
          </w:p>
        </w:tc>
        <w:tc>
          <w:tcPr/>
          <w:p>
            <w:pPr>
              <w:pStyle w:val="Compact"/>
              <w:jc w:val="left"/>
            </w:pPr>
            <w:r>
              <w:t xml:space="preserve">1</w:t>
            </w:r>
          </w:p>
        </w:tc>
        <w:tc>
          <w:tcPr/>
          <w:p>
            <w:pPr>
              <w:pStyle w:val="Compact"/>
              <w:jc w:val="left"/>
            </w:pPr>
            <w:r>
              <w:t xml:space="preserve">6,890,000</w:t>
            </w:r>
          </w:p>
        </w:tc>
        <w:tc>
          <w:tcPr/>
          <w:p>
            <w:pPr>
              <w:pStyle w:val="Compact"/>
              <w:jc w:val="left"/>
            </w:pPr>
            <w:r>
              <w:t xml:space="preserve">6,890,000</w:t>
            </w:r>
          </w:p>
        </w:tc>
      </w:tr>
      <w:tr>
        <w:tc>
          <w:tcPr/>
          <w:p>
            <w:pPr>
              <w:pStyle w:val="Compact"/>
              <w:jc w:val="left"/>
            </w:pPr>
            <w:r>
              <w:t xml:space="preserve">007</w:t>
            </w:r>
          </w:p>
        </w:tc>
        <w:tc>
          <w:tcPr/>
          <w:p>
            <w:pPr>
              <w:pStyle w:val="Compact"/>
              <w:jc w:val="left"/>
            </w:pPr>
            <w:r>
              <w:t xml:space="preserve">RNA Extraction Reagent Kit (TRIzol-based, 25 mL), for nucleic acid isolation in the Medical Researcher's protocol</w:t>
            </w:r>
          </w:p>
        </w:tc>
        <w:tc>
          <w:tcPr/>
          <w:p>
            <w:pPr>
              <w:pStyle w:val="Compact"/>
              <w:jc w:val="left"/>
            </w:pPr>
            <w:r>
              <w:t xml:space="preserve">24</w:t>
            </w:r>
          </w:p>
        </w:tc>
        <w:tc>
          <w:tcPr/>
          <w:p>
            <w:pPr>
              <w:pStyle w:val="Compact"/>
              <w:jc w:val="left"/>
            </w:pPr>
            <w:r>
              <w:t xml:space="preserve">145,000</w:t>
            </w:r>
          </w:p>
        </w:tc>
        <w:tc>
          <w:tcPr/>
          <w:p>
            <w:pPr>
              <w:pStyle w:val="Compact"/>
              <w:jc w:val="left"/>
            </w:pPr>
            <w:r>
              <w:t xml:space="preserve">3,480,000</w:t>
            </w:r>
          </w:p>
        </w:tc>
      </w:tr>
      <w:tr>
        <w:tc>
          <w:tcPr/>
          <w:p>
            <w:pPr>
              <w:pStyle w:val="Compact"/>
              <w:jc w:val="left"/>
            </w:pPr>
            <w:r>
              <w:t xml:space="preserve">008</w:t>
            </w:r>
          </w:p>
        </w:tc>
        <w:tc>
          <w:tcPr/>
          <w:p>
            <w:pPr>
              <w:pStyle w:val="Compact"/>
              <w:jc w:val="left"/>
            </w:pPr>
            <w:r>
              <w:t xml:space="preserve">Lab Notebook – Spiral Bound, 200 pages, A4 (for documentation per CONICYT audit requirements)</w:t>
            </w:r>
          </w:p>
        </w:tc>
        <w:tc>
          <w:tcPr/>
          <w:p>
            <w:pPr>
              <w:pStyle w:val="Compact"/>
              <w:jc w:val="left"/>
            </w:pPr>
            <w:r>
              <w:t xml:space="preserve">20</w:t>
            </w:r>
          </w:p>
        </w:tc>
        <w:tc>
          <w:tcPr/>
          <w:p>
            <w:pPr>
              <w:pStyle w:val="Compact"/>
              <w:jc w:val="left"/>
            </w:pPr>
            <w:r>
              <w:t xml:space="preserve">4,800</w:t>
            </w:r>
          </w:p>
        </w:tc>
        <w:tc>
          <w:tcPr/>
          <w:p>
            <w:pPr>
              <w:pStyle w:val="Compact"/>
              <w:jc w:val="left"/>
            </w:pPr>
            <w:r>
              <w:t xml:space="preserve">96,000</w:t>
            </w:r>
          </w:p>
        </w:tc>
      </w:tr>
      <w:tr>
        <w:tc>
          <w:tcPr/>
          <w:p>
            <w:pPr>
              <w:pStyle w:val="Compact"/>
              <w:jc w:val="left"/>
            </w:pPr>
            <w:r>
              <w:t xml:space="preserve">009</w:t>
            </w:r>
          </w:p>
        </w:tc>
        <w:tc>
          <w:tcPr/>
          <w:p>
            <w:pPr>
              <w:pStyle w:val="Compact"/>
              <w:jc w:val="left"/>
            </w:pPr>
            <w:r>
              <w:t xml:space="preserve">Personal Protective Equipment – Lab Coats (Cotton, Size L), for the research team in Chile Santiago</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010</w:t>
            </w:r>
          </w:p>
        </w:tc>
        <w:tc>
          <w:tcPr/>
          <w:p>
            <w:pPr>
              <w:pStyle w:val="Compact"/>
              <w:jc w:val="left"/>
            </w:pPr>
            <w:r>
              <w:t xml:space="preserve">Freezer – Ultra-Low Temperature -80°C (Thermo Scientific TSX Ultra), for long-term sample storage</w:t>
            </w:r>
          </w:p>
        </w:tc>
        <w:tc>
          <w:tcPr/>
          <w:p>
            <w:pPr>
              <w:pStyle w:val="Compact"/>
              <w:jc w:val="left"/>
            </w:pPr>
            <w:r>
              <w:t xml:space="preserve">1</w:t>
            </w:r>
          </w:p>
        </w:tc>
        <w:tc>
          <w:tcPr/>
          <w:p>
            <w:pPr>
              <w:pStyle w:val="Compact"/>
              <w:jc w:val="left"/>
            </w:pPr>
            <w:r>
              <w:t xml:space="preserve">12,350,000</w:t>
            </w:r>
          </w:p>
        </w:tc>
        <w:tc>
          <w:tcPr/>
          <w:p>
            <w:pPr>
              <w:pStyle w:val="Compact"/>
              <w:jc w:val="left"/>
            </w:pPr>
            <w:r>
              <w:t xml:space="preserve">12,350,000</w:t>
            </w:r>
          </w:p>
        </w:tc>
      </w:tr>
      <w:tr>
        <w:tc>
          <w:tcPr>
            <w:gridSpan w:val="4"/>
          </w:tcPr>
          <w:p>
            <w:pPr>
              <w:pStyle w:val="Compact"/>
              <w:jc w:val="left"/>
            </w:pPr>
            <w:r>
              <w:t xml:space="preserve">SUBTOTAL</w:t>
            </w:r>
          </w:p>
        </w:tc>
        <w:tc>
          <w:tcPr/>
          <w:p>
            <w:pPr>
              <w:pStyle w:val="Compact"/>
              <w:jc w:val="left"/>
            </w:pPr>
            <w:r>
              <w:t xml:space="preserve">44,466,000</w:t>
            </w:r>
          </w:p>
        </w:tc>
      </w:tr>
      <w:tr>
        <w:tc>
          <w:tcPr>
            <w:gridSpan w:val="4"/>
          </w:tcPr>
          <w:p>
            <w:pPr>
              <w:pStyle w:val="Compact"/>
              <w:jc w:val="left"/>
            </w:pPr>
            <w:r>
              <w:t xml:space="preserve">IVA (19% VAT – Chile)</w:t>
            </w:r>
          </w:p>
        </w:tc>
        <w:tc>
          <w:tcPr/>
          <w:p>
            <w:pPr>
              <w:pStyle w:val="Compact"/>
              <w:jc w:val="left"/>
            </w:pPr>
            <w:r>
              <w:t xml:space="preserve">8,448,540</w:t>
            </w:r>
          </w:p>
        </w:tc>
      </w:tr>
      <w:tr>
        <w:tc>
          <w:tcPr>
            <w:gridSpan w:val="4"/>
          </w:tcPr>
          <w:p>
            <w:pPr>
              <w:pStyle w:val="Compact"/>
              <w:jc w:val="left"/>
            </w:pPr>
            <w:r>
              <w:t xml:space="preserve">GRAND TOTAL (CLP)</w:t>
            </w:r>
          </w:p>
        </w:tc>
        <w:tc>
          <w:tcPr/>
          <w:p>
            <w:pPr>
              <w:pStyle w:val="Compact"/>
              <w:jc w:val="left"/>
            </w:pPr>
            <w:r>
              <w:t xml:space="preserve">52,914,540</w:t>
            </w:r>
          </w:p>
        </w:tc>
      </w:tr>
    </w:tbl>
    <w:bookmarkEnd w:id="23"/>
    <w:bookmarkStart w:id="24" w:name="delivery-and-logistics"/>
    <w:p>
      <w:pPr>
        <w:pStyle w:val="Heading2"/>
      </w:pPr>
      <w:r>
        <w:t xml:space="preserve">4. Delivery and Logistics</w:t>
      </w:r>
    </w:p>
    <w:p>
      <w:pPr>
        <w:pStyle w:val="FirstParagraph"/>
      </w:pPr>
      <w:r>
        <w:t xml:space="preserve">All items referenced in this Purchase Order shall be delivered to the Instituto de Investigación Médica de Santiago, located at Av. Providencia 1250, Of. 801, Providencia,</w:t>
      </w:r>
      <w:r>
        <w:t xml:space="preserve"> </w:t>
      </w:r>
      <w:r>
        <w:t xml:space="preserve">Chile Santiago</w:t>
      </w:r>
      <w:r>
        <w:t xml:space="preserve">, within the timeframe specified above. The supplier is responsible for all transportation, insurance, and customs clearance (if applicable for imported components) until the goods are received and inspected at the designated laboratory. Fragile and temperature-sensitive items, including reagents and cell culture media, must be shipped with validated cold-chain packaging to ensure integrity upon arrival in</w:t>
      </w:r>
      <w:r>
        <w:t xml:space="preserve"> </w:t>
      </w:r>
      <w:r>
        <w:t xml:space="preserve">Chile Santiago</w:t>
      </w:r>
      <w:r>
        <w:t xml:space="preserve">.</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Buyer and the Supplier upon signature by both parties. All terms are governed by the Chilean Civil Code and the applicable commercial regulations of the Republic of Chile.</w:t>
      </w:r>
    </w:p>
    <w:p>
      <w:pPr>
        <w:numPr>
          <w:ilvl w:val="0"/>
          <w:numId w:val="1001"/>
        </w:numPr>
        <w:pStyle w:val="Compact"/>
      </w:pPr>
      <w:r>
        <w:rPr>
          <w:bCs/>
          <w:b/>
        </w:rPr>
        <w:t xml:space="preserve">5.2</w:t>
      </w:r>
      <w:r>
        <w:t xml:space="preserve"> </w:t>
      </w:r>
      <w:r>
        <w:t xml:space="preserve">The Medical Researcher, Dr. Valentina Rojas Mendoza, shall serve as the technical recipient and quality inspector for all laboratory equipment and reagents. No item shall be deemed accepted until the Medical Researcher has verified functionality, calibration, and compliance with the research protocol specifications.</w:t>
      </w:r>
    </w:p>
    <w:p>
      <w:pPr>
        <w:numPr>
          <w:ilvl w:val="0"/>
          <w:numId w:val="1001"/>
        </w:numPr>
        <w:pStyle w:val="Compact"/>
      </w:pPr>
      <w:r>
        <w:rPr>
          <w:bCs/>
          <w:b/>
        </w:rPr>
        <w:t xml:space="preserve">5.3</w:t>
      </w:r>
      <w:r>
        <w:t xml:space="preserve"> </w:t>
      </w:r>
      <w:r>
        <w:t xml:space="preserve">Payment shall be made via bank transfer to the supplier's account in Chilean Pesos (CLP) within thirty (30) calendar days from the date of invoice issuance, provided that all goods have been delivered and accepted without defect.</w:t>
      </w:r>
    </w:p>
    <w:p>
      <w:pPr>
        <w:numPr>
          <w:ilvl w:val="0"/>
          <w:numId w:val="1001"/>
        </w:numPr>
        <w:pStyle w:val="Compact"/>
      </w:pPr>
      <w:r>
        <w:rPr>
          <w:bCs/>
          <w:b/>
        </w:rPr>
        <w:t xml:space="preserve">5.4</w:t>
      </w:r>
      <w:r>
        <w:t xml:space="preserve"> </w:t>
      </w:r>
      <w:r>
        <w:t xml:space="preserve">The Supplier warrants that all equipment is new, unused, and carries a minimum manufacturer warranty of twenty-four (24) months from the date of delivery in</w:t>
      </w:r>
      <w:r>
        <w:t xml:space="preserve"> </w:t>
      </w:r>
      <w:r>
        <w:t xml:space="preserve">Chile Santiago</w:t>
      </w:r>
      <w:r>
        <w:t xml:space="preserve">.</w:t>
      </w:r>
    </w:p>
    <w:p>
      <w:pPr>
        <w:numPr>
          <w:ilvl w:val="0"/>
          <w:numId w:val="1001"/>
        </w:numPr>
        <w:pStyle w:val="Compact"/>
      </w:pPr>
      <w:r>
        <w:rPr>
          <w:bCs/>
          <w:b/>
        </w:rPr>
        <w:t xml:space="preserve">5.5</w:t>
      </w:r>
      <w:r>
        <w:t xml:space="preserve"> </w:t>
      </w:r>
      <w:r>
        <w:t xml:space="preserve">In the event of non-conforming or damaged goods, the Supplier shall replace the affected items within ten (10) business days at no additional cost to the Buyer. Repeated failures (two or more) shall entitle the Buyer to cancel the affected line items and seek a full refund.</w:t>
      </w:r>
    </w:p>
    <w:p>
      <w:pPr>
        <w:numPr>
          <w:ilvl w:val="0"/>
          <w:numId w:val="1001"/>
        </w:numPr>
        <w:pStyle w:val="Compact"/>
      </w:pPr>
      <w:r>
        <w:rPr>
          <w:bCs/>
          <w:b/>
        </w:rPr>
        <w:t xml:space="preserve">5.6</w:t>
      </w:r>
      <w:r>
        <w:t xml:space="preserve"> </w:t>
      </w:r>
      <w:r>
        <w:t xml:space="preserve">All biological reagents and kits must comply with the regulations established by the Instituto de Salud Pública de Chile (ISP) and must carry valid registration numbers. The Supplier shall provide certificates of analysis (CoA) and certificates of origin (CoO) for each shipment.</w:t>
      </w:r>
    </w:p>
    <w:p>
      <w:pPr>
        <w:numPr>
          <w:ilvl w:val="0"/>
          <w:numId w:val="1001"/>
        </w:numPr>
        <w:pStyle w:val="Compact"/>
      </w:pPr>
      <w:r>
        <w:rPr>
          <w:bCs/>
          <w:b/>
        </w:rPr>
        <w:t xml:space="preserve">5.7</w:t>
      </w:r>
      <w:r>
        <w:t xml:space="preserve"> </w:t>
      </w:r>
      <w:r>
        <w:t xml:space="preserve">The Medical Researcher's laboratory operates under biosafety level 2 (BSL-2) protocols. The Supplier acknowledges that delivery personnel must comply with the facility's access control and safety briefing procedures upon arrival at the</w:t>
      </w:r>
      <w:r>
        <w:t xml:space="preserve"> </w:t>
      </w:r>
      <w:r>
        <w:t xml:space="preserve">Chile Santiago</w:t>
      </w:r>
      <w:r>
        <w:t xml:space="preserve"> </w:t>
      </w:r>
      <w:r>
        <w:t xml:space="preserve">premises.</w:t>
      </w:r>
    </w:p>
    <w:p>
      <w:pPr>
        <w:numPr>
          <w:ilvl w:val="0"/>
          <w:numId w:val="1001"/>
        </w:numPr>
        <w:pStyle w:val="Compact"/>
      </w:pPr>
      <w:r>
        <w:rPr>
          <w:bCs/>
          <w:b/>
        </w:rPr>
        <w:t xml:space="preserve">5.8</w:t>
      </w:r>
      <w:r>
        <w:t xml:space="preserve"> </w:t>
      </w:r>
      <w:r>
        <w:t xml:space="preserve">This Purchase Order may not be assigned or subcontracted by the Supplier without prior written consent from the Buyer.</w:t>
      </w:r>
    </w:p>
    <w:p>
      <w:pPr>
        <w:numPr>
          <w:ilvl w:val="0"/>
          <w:numId w:val="1001"/>
        </w:numPr>
        <w:pStyle w:val="Compact"/>
      </w:pPr>
      <w:r>
        <w:rPr>
          <w:bCs/>
          <w:b/>
        </w:rPr>
        <w:t xml:space="preserve">5.9</w:t>
      </w:r>
      <w:r>
        <w:t xml:space="preserve"> </w:t>
      </w:r>
      <w:r>
        <w:t xml:space="preserve">Any disputes arising from this Purchase Order shall be resolved through the competent courts of Santiago, Chile, in accordance with Chilean law.</w:t>
      </w:r>
    </w:p>
    <w:bookmarkEnd w:id="25"/>
    <w:bookmarkStart w:id="26" w:name="notes-and-special-instructions"/>
    <w:p>
      <w:pPr>
        <w:pStyle w:val="Heading2"/>
      </w:pPr>
      <w:r>
        <w:t xml:space="preserve">6. Notes and Special Instructions</w:t>
      </w:r>
    </w:p>
    <w:p>
      <w:pPr>
        <w:pStyle w:val="FirstParagraph"/>
      </w:pPr>
      <w:r>
        <w:t xml:space="preserve">The items in this Purchase Order are procured under the research grant FONDECYT N° 1234567, funded by the Agencia Nacional de Investigación y Desarrollo (ANID) of Chile. The Medical Researcher, Dr. Rojas Mendoza, is the principal investigator responsible for the scientific use of all procured materials. All equipment must be installed and calibrated by the supplier's certified technicians at the</w:t>
      </w:r>
      <w:r>
        <w:t xml:space="preserve"> </w:t>
      </w:r>
      <w:r>
        <w:t xml:space="preserve">Chile Santiago</w:t>
      </w:r>
      <w:r>
        <w:t xml:space="preserve"> </w:t>
      </w:r>
      <w:r>
        <w:t xml:space="preserve">laboratory before final acceptance. The supplier is requested to coordinate the installation schedule with the Medical Researcher's office no fewer than five (5) business days in advance. Additionally, all imported electronic equipment must include Spanish-language user manuals and comply with the electrical standards of Chile (220V, 60Hz, Type C/F plugs).</w:t>
      </w:r>
    </w:p>
    <w:bookmarkEnd w:id="26"/>
    <w:p>
      <w:pPr>
        <w:pStyle w:val="BodyText"/>
      </w:pPr>
      <w:r>
        <w:rPr>
          <w:bCs/>
          <w:b/>
        </w:rPr>
        <w:t xml:space="preserve">Authorized Buyer</w:t>
      </w:r>
      <w:r>
        <w:br/>
      </w:r>
      <w:r>
        <w:t xml:space="preserve">Sr. Andrés Paredes Silva</w:t>
      </w:r>
      <w:r>
        <w:br/>
      </w:r>
      <w:r>
        <w:t xml:space="preserve">Procurement Manager</w:t>
      </w:r>
      <w:r>
        <w:br/>
      </w:r>
      <w:r>
        <w:t xml:space="preserve">Instituto de Investigación Médica de Santiago</w:t>
      </w:r>
      <w:r>
        <w:br/>
      </w:r>
      <w:r>
        <w:t xml:space="preserve">Date: _______________</w:t>
      </w:r>
    </w:p>
    <w:p>
      <w:pPr>
        <w:pStyle w:val="BodyText"/>
      </w:pPr>
      <w:r>
        <w:rPr>
          <w:bCs/>
          <w:b/>
        </w:rPr>
        <w:t xml:space="preserve">Supplier Acceptance</w:t>
      </w:r>
      <w:r>
        <w:br/>
      </w:r>
      <w:r>
        <w:t xml:space="preserve">Sr. Carlos Fuentes</w:t>
      </w:r>
      <w:r>
        <w:br/>
      </w:r>
      <w:r>
        <w:t xml:space="preserve">Sales Director, BioLab Supply Chile SpA</w:t>
      </w:r>
      <w:r>
        <w:br/>
      </w:r>
      <w:r>
        <w:t xml:space="preserve">Date: _______________</w:t>
      </w:r>
    </w:p>
    <w:p>
      <w:pPr>
        <w:pStyle w:val="BodyText"/>
      </w:pPr>
      <w:r>
        <w:t xml:space="preserve">This Purchase Order (PO-2025-MSR-0472) was generated for the Medical Researcher program at the Instituto de Investigación Médica de Santiago, Chile Santiago. Document reference: IIMS/PROC/2025/0472. For inquiries, contact the Procurement Office at procurement@iimsantiago.cl. This document is valid for 90 days from the date of issue. Unauthorized reproduction is prohibited under Chilean intellectual property law (Ley 17.336).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Chile Santiago</dc:title>
  <dc:creator/>
  <dc:language>en</dc:language>
  <cp:keywords/>
  <dcterms:created xsi:type="dcterms:W3CDTF">2026-10-10T01:23:58Z</dcterms:created>
  <dcterms:modified xsi:type="dcterms:W3CDTF">2026-10-10T01:23:58Z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