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Medical Researcher Procurement Document — China Beijing</w:t>
      </w:r>
    </w:p>
    <w:p>
      <w:pPr>
        <w:pStyle w:val="BodyText"/>
      </w:pPr>
      <w:r>
        <w:t xml:space="preserve">PO No: PO-CB-2025-07842  |  Date of Issue: 15 June 2025  |  Valid Until: 15 September 2025</w:t>
      </w:r>
    </w:p>
    <w:bookmarkEnd w:id="20"/>
    <w:p>
      <w:pPr>
        <w:pStyle w:val="BodyText"/>
      </w:pPr>
      <w:r>
        <w:rPr>
          <w:bCs/>
          <w:b/>
        </w:rPr>
        <w:t xml:space="preserve">BUYER (Receiving Party):</w:t>
      </w:r>
      <w:r>
        <w:br/>
      </w:r>
      <w:r>
        <w:t xml:space="preserve">Beijing Institute of Advanced Medical Sciences</w:t>
      </w:r>
      <w:r>
        <w:br/>
      </w:r>
      <w:r>
        <w:t xml:space="preserve">No. 38 Zhongguancun Street, Haidian District</w:t>
      </w:r>
      <w:r>
        <w:br/>
      </w:r>
      <w:r>
        <w:t xml:space="preserve">Beijing, 100080, People's Republic of China</w:t>
      </w:r>
      <w:r>
        <w:br/>
      </w:r>
      <w:r>
        <w:t xml:space="preserve">Contact: Dr. Wei Zhang, Chief Medical Researcher</w:t>
      </w:r>
      <w:r>
        <w:br/>
      </w:r>
      <w:r>
        <w:t xml:space="preserve">Email: w.zhang@biamsciences.cn</w:t>
      </w:r>
      <w:r>
        <w:br/>
      </w:r>
      <w:r>
        <w:t xml:space="preserve">Tel: +86-10-8234-5678</w:t>
      </w:r>
    </w:p>
    <w:p>
      <w:pPr>
        <w:pStyle w:val="BodyText"/>
      </w:pPr>
      <w:r>
        <w:rPr>
          <w:bCs/>
          <w:b/>
        </w:rPr>
        <w:t xml:space="preserve">SELLER (Supplying Party):</w:t>
      </w:r>
      <w:r>
        <w:br/>
      </w:r>
      <w:r>
        <w:t xml:space="preserve">GlobalMed Research Equipment Co., Ltd.</w:t>
      </w:r>
      <w:r>
        <w:br/>
      </w:r>
      <w:r>
        <w:t xml:space="preserve">1200 Innovation Park, Pudong New Area</w:t>
      </w:r>
      <w:r>
        <w:br/>
      </w:r>
      <w:r>
        <w:t xml:space="preserve">Shanghai, 200120, People's Republic of China</w:t>
      </w:r>
      <w:r>
        <w:br/>
      </w:r>
      <w:r>
        <w:t xml:space="preserve">Contact: Mr. Liang Chen, Sales Director</w:t>
      </w:r>
      <w:r>
        <w:br/>
      </w:r>
      <w:r>
        <w:t xml:space="preserve">Email: l.chen@globalmed.cn</w:t>
      </w:r>
      <w:r>
        <w:br/>
      </w:r>
      <w:r>
        <w:t xml:space="preserve">Tel: +86-21-5890-1234</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Beijing Institute of Advanced Medical Sciences to procure specialized laboratory equipment, reagents, and consumables required for ongoing biomedical research programs. The primary end-user of all items listed herein is the designated</w:t>
      </w:r>
      <w:r>
        <w:t xml:space="preserve"> </w:t>
      </w:r>
      <w:r>
        <w:t xml:space="preserve">Medical Researcher</w:t>
      </w:r>
      <w:r>
        <w:t xml:space="preserve"> </w:t>
      </w:r>
      <w:r>
        <w:t xml:space="preserve">team operating within the Haidian District research campus in</w:t>
      </w:r>
      <w:r>
        <w:t xml:space="preserve"> </w:t>
      </w:r>
      <w:r>
        <w:t xml:space="preserve">China Beijing</w:t>
      </w:r>
      <w:r>
        <w:t xml:space="preserve">. All procurement activities governed by this document shall comply with the National Medical Products Administration (NMPA) regulations, the Ministry of Science and Technology guidelines, and institutional biosafety protocols applicable to research conducted in</w:t>
      </w:r>
      <w:r>
        <w:t xml:space="preserve"> </w:t>
      </w:r>
      <w:r>
        <w:t xml:space="preserve">China Beijing</w:t>
      </w:r>
      <w:r>
        <w:t xml:space="preserve">.</w:t>
      </w:r>
    </w:p>
    <w:p>
      <w:pPr>
        <w:pStyle w:val="BodyText"/>
      </w:pPr>
      <w:r>
        <w:t xml:space="preserve">2. Line Items — Equipment, Reagents,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High-Resolution Confocal Microscope (Leica SP8) — for cellular imaging by the Medical Researcher group</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Real-Time PCR Thermal Cycler (Applied Biosystems QuantStudio 7) — molecular biology lab, Beijing campus</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03</w:t>
            </w:r>
          </w:p>
        </w:tc>
        <w:tc>
          <w:tcPr/>
          <w:p>
            <w:pPr>
              <w:pStyle w:val="Compact"/>
              <w:jc w:val="left"/>
            </w:pPr>
            <w:r>
              <w:t xml:space="preserve">Ultra-Cold Freezer (-80°C, 500L) — biological sample storage for Medical Researcher projects</w:t>
            </w:r>
          </w:p>
        </w:tc>
        <w:tc>
          <w:tcPr/>
          <w:p>
            <w:pPr>
              <w:pStyle w:val="Compact"/>
              <w:jc w:val="left"/>
            </w:pPr>
            <w:r>
              <w:t xml:space="preserve">3</w:t>
            </w:r>
          </w:p>
        </w:tc>
        <w:tc>
          <w:tcPr/>
          <w:p>
            <w:pPr>
              <w:pStyle w:val="Compact"/>
              <w:jc w:val="left"/>
            </w:pPr>
            <w:r>
              <w:t xml:space="preserve">Unit</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04</w:t>
            </w:r>
          </w:p>
        </w:tc>
        <w:tc>
          <w:tcPr/>
          <w:p>
            <w:pPr>
              <w:pStyle w:val="Compact"/>
              <w:jc w:val="left"/>
            </w:pPr>
            <w:r>
              <w:t xml:space="preserve">Cell Culture Incubator (CO&amp;sub2; 5%, 37°C) — tissue culture suite, Haidian District</w:t>
            </w:r>
          </w:p>
        </w:tc>
        <w:tc>
          <w:tcPr/>
          <w:p>
            <w:pPr>
              <w:pStyle w:val="Compact"/>
              <w:jc w:val="left"/>
            </w:pPr>
            <w:r>
              <w:t xml:space="preserve">4</w:t>
            </w:r>
          </w:p>
        </w:tc>
        <w:tc>
          <w:tcPr/>
          <w:p>
            <w:pPr>
              <w:pStyle w:val="Compact"/>
              <w:jc w:val="left"/>
            </w:pPr>
            <w:r>
              <w:t xml:space="preserve">Unit</w:t>
            </w:r>
          </w:p>
        </w:tc>
        <w:tc>
          <w:tcPr/>
          <w:p>
            <w:pPr>
              <w:pStyle w:val="Compact"/>
              <w:jc w:val="left"/>
            </w:pPr>
            <w:r>
              <w:t xml:space="preserve">48,000.00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Next-Generation Sequencing Kit (Illumina NovaSeq 6000, 150-cycle) — genomics division</w:t>
            </w:r>
          </w:p>
        </w:tc>
        <w:tc>
          <w:tcPr/>
          <w:p>
            <w:pPr>
              <w:pStyle w:val="Compact"/>
              <w:jc w:val="left"/>
            </w:pPr>
            <w:r>
              <w:t xml:space="preserve">10</w:t>
            </w:r>
          </w:p>
        </w:tc>
        <w:tc>
          <w:tcPr/>
          <w:p>
            <w:pPr>
              <w:pStyle w:val="Compact"/>
              <w:jc w:val="left"/>
            </w:pPr>
            <w:r>
              <w:t xml:space="preserve">Kit</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06</w:t>
            </w:r>
          </w:p>
        </w:tc>
        <w:tc>
          <w:tcPr/>
          <w:p>
            <w:pPr>
              <w:pStyle w:val="Compact"/>
              <w:jc w:val="left"/>
            </w:pPr>
            <w:r>
              <w:t xml:space="preserve">Monoclonal Antibody Panel (Research Grade, 24-plex) — immunology studies by Medical Researcher team</w:t>
            </w:r>
          </w:p>
        </w:tc>
        <w:tc>
          <w:tcPr/>
          <w:p>
            <w:pPr>
              <w:pStyle w:val="Compact"/>
              <w:jc w:val="left"/>
            </w:pPr>
            <w:r>
              <w:t xml:space="preserve">50</w:t>
            </w:r>
          </w:p>
        </w:tc>
        <w:tc>
          <w:tcPr/>
          <w:p>
            <w:pPr>
              <w:pStyle w:val="Compact"/>
              <w:jc w:val="left"/>
            </w:pPr>
            <w:r>
              <w:t xml:space="preserve">vial</w:t>
            </w:r>
          </w:p>
        </w:tc>
        <w:tc>
          <w:tcPr/>
          <w:p>
            <w:pPr>
              <w:pStyle w:val="Compact"/>
              <w:jc w:val="left"/>
            </w:pPr>
            <w:r>
              <w:t xml:space="preserve">2,800.00</w:t>
            </w:r>
          </w:p>
        </w:tc>
        <w:tc>
          <w:tcPr/>
          <w:p>
            <w:pPr>
              <w:pStyle w:val="Compact"/>
              <w:jc w:val="left"/>
            </w:pPr>
            <w:r>
              <w:t xml:space="preserve">140,000.00</w:t>
            </w:r>
          </w:p>
        </w:tc>
      </w:tr>
      <w:tr>
        <w:tc>
          <w:tcPr/>
          <w:p>
            <w:pPr>
              <w:pStyle w:val="Compact"/>
              <w:jc w:val="left"/>
            </w:pPr>
            <w:r>
              <w:t xml:space="preserve">07</w:t>
            </w:r>
          </w:p>
        </w:tc>
        <w:tc>
          <w:tcPr/>
          <w:p>
            <w:pPr>
              <w:pStyle w:val="Compact"/>
              <w:jc w:val="left"/>
            </w:pPr>
            <w:r>
              <w:t xml:space="preserve">Autoclave (120L, Class B) — sterilization for all wet-lab operations in China Beijing facility</w:t>
            </w:r>
          </w:p>
        </w:tc>
        <w:tc>
          <w:tcPr/>
          <w:p>
            <w:pPr>
              <w:pStyle w:val="Compact"/>
              <w:jc w:val="left"/>
            </w:pPr>
            <w:r>
              <w:t xml:space="preserve">2</w:t>
            </w:r>
          </w:p>
        </w:tc>
        <w:tc>
          <w:tcPr/>
          <w:p>
            <w:pPr>
              <w:pStyle w:val="Compact"/>
              <w:jc w:val="left"/>
            </w:pPr>
            <w:r>
              <w:t xml:space="preserve">Unit</w:t>
            </w:r>
          </w:p>
        </w:tc>
        <w:tc>
          <w:tcPr/>
          <w:p>
            <w:pPr>
              <w:pStyle w:val="Compact"/>
              <w:jc w:val="left"/>
            </w:pPr>
            <w:r>
              <w:t xml:space="preserve">65,000.00</w:t>
            </w:r>
          </w:p>
        </w:tc>
        <w:tc>
          <w:tcPr/>
          <w:p>
            <w:pPr>
              <w:pStyle w:val="Compact"/>
              <w:jc w:val="left"/>
            </w:pPr>
            <w:r>
              <w:t xml:space="preserve">130,000.00</w:t>
            </w:r>
          </w:p>
        </w:tc>
      </w:tr>
      <w:tr>
        <w:tc>
          <w:tcPr/>
          <w:p>
            <w:pPr>
              <w:pStyle w:val="Compact"/>
              <w:jc w:val="left"/>
            </w:pPr>
            <w:r>
              <w:t xml:space="preserve">08</w:t>
            </w:r>
          </w:p>
        </w:tc>
        <w:tc>
          <w:tcPr/>
          <w:p>
            <w:pPr>
              <w:pStyle w:val="Compact"/>
              <w:jc w:val="left"/>
            </w:pPr>
            <w:r>
              <w:t xml:space="preserve">Personal Protective Equipment (PPE) Annual Supply — N95 masks, nitrile gloves, lab coats for 40 researchers</w:t>
            </w:r>
          </w:p>
        </w:tc>
        <w:tc>
          <w:tcPr/>
          <w:p>
            <w:pPr>
              <w:pStyle w:val="Compact"/>
              <w:jc w:val="left"/>
            </w:pPr>
            <w:r>
              <w:t xml:space="preserve">40</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09</w:t>
            </w:r>
          </w:p>
        </w:tc>
        <w:tc>
          <w:tcPr/>
          <w:p>
            <w:pPr>
              <w:pStyle w:val="Compact"/>
              <w:jc w:val="left"/>
            </w:pPr>
            <w:r>
              <w:t xml:space="preserve">Centrifuge (Ultracentrifuge, 100,000 RPM) — protein purification lab</w:t>
            </w:r>
          </w:p>
        </w:tc>
        <w:tc>
          <w:tcPr/>
          <w:p>
            <w:pPr>
              <w:pStyle w:val="Compact"/>
              <w:jc w:val="left"/>
            </w:pPr>
            <w:r>
              <w:t xml:space="preserve">1</w:t>
            </w:r>
          </w:p>
        </w:tc>
        <w:tc>
          <w:tcPr/>
          <w:p>
            <w:pPr>
              <w:pStyle w:val="Compact"/>
              <w:jc w:val="left"/>
            </w:pPr>
            <w:r>
              <w:t xml:space="preserve">Unit</w:t>
            </w:r>
          </w:p>
        </w:tc>
        <w:tc>
          <w:tcPr/>
          <w:p>
            <w:pPr>
              <w:pStyle w:val="Compact"/>
              <w:jc w:val="left"/>
            </w:pPr>
            <w:r>
              <w:t xml:space="preserve">410,000.00</w:t>
            </w:r>
          </w:p>
        </w:tc>
        <w:tc>
          <w:tcPr/>
          <w:p>
            <w:pPr>
              <w:pStyle w:val="Compact"/>
              <w:jc w:val="left"/>
            </w:pPr>
            <w:r>
              <w:t xml:space="preserve">410,000.00</w:t>
            </w:r>
          </w:p>
        </w:tc>
      </w:tr>
      <w:tr>
        <w:tc>
          <w:tcPr/>
          <w:p>
            <w:pPr>
              <w:pStyle w:val="Compact"/>
              <w:jc w:val="left"/>
            </w:pPr>
            <w:r>
              <w:t xml:space="preserve">10</w:t>
            </w:r>
          </w:p>
        </w:tc>
        <w:tc>
          <w:tcPr/>
          <w:p>
            <w:pPr>
              <w:pStyle w:val="Compact"/>
              <w:jc w:val="left"/>
            </w:pPr>
            <w:r>
              <w:t xml:space="preserve">Software License: Bioinformatics Analysis Suite (5-year, 10-seat) — computational biology wing</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275,000.00</w:t>
            </w:r>
          </w:p>
        </w:tc>
        <w:tc>
          <w:tcPr/>
          <w:p>
            <w:pPr>
              <w:pStyle w:val="Compact"/>
              <w:jc w:val="left"/>
            </w:pPr>
            <w:r>
              <w:t xml:space="preserve">275,000.00</w:t>
            </w:r>
          </w:p>
        </w:tc>
      </w:tr>
      <w:tr>
        <w:tc>
          <w:tcPr>
            <w:gridSpan w:val="5"/>
          </w:tcPr>
          <w:p>
            <w:pPr>
              <w:pStyle w:val="Compact"/>
              <w:jc w:val="right"/>
            </w:pPr>
            <w:r>
              <w:t xml:space="preserve">SUBTOTAL</w:t>
            </w:r>
          </w:p>
        </w:tc>
        <w:tc>
          <w:tcPr/>
          <w:p>
            <w:pPr>
              <w:pStyle w:val="Compact"/>
              <w:jc w:val="left"/>
            </w:pPr>
            <w:r>
              <w:t xml:space="preserve">4,175,000.00</w:t>
            </w:r>
          </w:p>
        </w:tc>
      </w:tr>
      <w:tr>
        <w:tc>
          <w:tcPr>
            <w:gridSpan w:val="5"/>
          </w:tcPr>
          <w:p>
            <w:pPr>
              <w:pStyle w:val="Compact"/>
              <w:jc w:val="right"/>
            </w:pPr>
            <w:r>
              <w:t xml:space="preserve">VAT (13%)</w:t>
            </w:r>
          </w:p>
        </w:tc>
        <w:tc>
          <w:tcPr/>
          <w:p>
            <w:pPr>
              <w:pStyle w:val="Compact"/>
              <w:jc w:val="left"/>
            </w:pPr>
            <w:r>
              <w:t xml:space="preserve">542,750.00</w:t>
            </w:r>
          </w:p>
        </w:tc>
      </w:tr>
      <w:tr>
        <w:tc>
          <w:tcPr>
            <w:gridSpan w:val="5"/>
          </w:tcPr>
          <w:p>
            <w:pPr>
              <w:pStyle w:val="Compact"/>
              <w:jc w:val="right"/>
            </w:pPr>
            <w:r>
              <w:t xml:space="preserve">GRAND TOTAL (CNY)</w:t>
            </w:r>
          </w:p>
        </w:tc>
        <w:tc>
          <w:tcPr/>
          <w:p>
            <w:pPr>
              <w:pStyle w:val="Compact"/>
              <w:jc w:val="left"/>
            </w:pPr>
            <w:r>
              <w:t xml:space="preserve">4,717,750.00</w:t>
            </w:r>
          </w:p>
        </w:tc>
      </w:tr>
    </w:tbl>
    <w:p>
      <w:pPr>
        <w:pStyle w:val="BodyText"/>
      </w:pPr>
      <w:r>
        <w:t xml:space="preserve">3. Delivery and Installation</w:t>
      </w:r>
    </w:p>
    <w:p>
      <w:pPr>
        <w:pStyle w:val="BodyText"/>
      </w:pPr>
      <w:r>
        <w:t xml:space="preserve">All items referenced in this</w:t>
      </w:r>
      <w:r>
        <w:t xml:space="preserve"> </w:t>
      </w:r>
      <w:r>
        <w:t xml:space="preserve">Purchase Order</w:t>
      </w:r>
      <w:r>
        <w:t xml:space="preserve"> </w:t>
      </w:r>
      <w:r>
        <w:t xml:space="preserve">shall be delivered to the Beijing Institute of Advanced Medical Sciences, No. 38 Zhongguancun Street, Haidian District,</w:t>
      </w:r>
      <w:r>
        <w:t xml:space="preserve"> </w:t>
      </w:r>
      <w:r>
        <w:t xml:space="preserve">China Beijing</w:t>
      </w:r>
      <w:r>
        <w:t xml:space="preserve">, 100080. The Seller is responsible for freight, insurance, and customs clearance (if applicable for imported components) up to the receiving dock of the research facility. Installation, calibration, and operator training for all capital equipment (Items 01, 02, 03, 04, 07, 09) shall be completed within 30 calendar days of delivery. The designated</w:t>
      </w:r>
      <w:r>
        <w:t xml:space="preserve"> </w:t>
      </w:r>
      <w:r>
        <w:t xml:space="preserve">Medical Researcher</w:t>
      </w:r>
      <w:r>
        <w:t xml:space="preserve"> </w:t>
      </w:r>
      <w:r>
        <w:t xml:space="preserve">principal investigator, Dr. Wei Zhang, or his authorized deputy, shall sign the installation acceptance certificate. Delivery is scheduled no later than 20 August 2025. All packaging must meet the International Air Transport Association (IATA) and China Civil Aviation Administration (CAAC) standards for hazardous biological materials where applicable.</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Renminbi (CNY) via bank transfer to the Seller's designated account. The payment schedule is as follows: (a) 30% advance payment (CNY 1,415,325.00) within 10 business days of mutual signature of this document; (b) 50% (CNY 2,358,875.00) upon confirmed delivery and installation at the</w:t>
      </w:r>
      <w:r>
        <w:t xml:space="preserve"> </w:t>
      </w:r>
      <w:r>
        <w:t xml:space="preserve">China Beijing</w:t>
      </w:r>
      <w:r>
        <w:t xml:space="preserve"> </w:t>
      </w:r>
      <w:r>
        <w:t xml:space="preserve">facility; (c) 20% (CNY 943,550.00) upon successful completion of a 90-day performance warranty period. Late payments shall accrue interest at 0.05% per calendar day. All invoices must reference the Purchase Order number PO-CB-2025-07842.</w:t>
      </w:r>
    </w:p>
    <w:p>
      <w:pPr>
        <w:pStyle w:val="BodyText"/>
      </w:pPr>
      <w:r>
        <w:t xml:space="preserve">5. Quality Assurance and Compliance</w:t>
      </w:r>
    </w:p>
    <w:p>
      <w:pPr>
        <w:pStyle w:val="BodyText"/>
      </w:pPr>
      <w:r>
        <w:t xml:space="preserve">The Seller warrants that all goods supplied under this</w:t>
      </w:r>
      <w:r>
        <w:t xml:space="preserve"> </w:t>
      </w:r>
      <w:r>
        <w:t xml:space="preserve">Purchase Order</w:t>
      </w:r>
      <w:r>
        <w:t xml:space="preserve"> </w:t>
      </w:r>
      <w:r>
        <w:t xml:space="preserve">are new, unused, and conform to the specifications outlined in the attached technical annex (Annex A). All reagents and biological materials must carry valid NMPA registration or import permits. The</w:t>
      </w:r>
      <w:r>
        <w:t xml:space="preserve"> </w:t>
      </w:r>
      <w:r>
        <w:t xml:space="preserve">Medical Researcher</w:t>
      </w:r>
      <w:r>
        <w:t xml:space="preserve"> </w:t>
      </w:r>
      <w:r>
        <w:t xml:space="preserve">team at the Beijing campus reserves the right to reject any item that fails to meet the stated specifications, is damaged in transit, or lacks required regulatory documentation for use in</w:t>
      </w:r>
      <w:r>
        <w:t xml:space="preserve"> </w:t>
      </w:r>
      <w:r>
        <w:t xml:space="preserve">China Beijing</w:t>
      </w:r>
      <w:r>
        <w:t xml:space="preserve">. A 24-month warranty from the date of installation acceptance applies to all capital equipment. Consumables and reagents carry a minimum shelf life of 18 months at the time of delivery.</w:t>
      </w:r>
    </w:p>
    <w:p>
      <w:pPr>
        <w:pStyle w:val="BodyText"/>
      </w:pPr>
      <w:r>
        <w:t xml:space="preserve">6. Intellectual Property and Data Confidentiality</w:t>
      </w:r>
    </w:p>
    <w:p>
      <w:pPr>
        <w:pStyle w:val="BodyText"/>
      </w:pPr>
      <w:r>
        <w:t xml:space="preserve">Any research data, protocols, or proprietary methodologies developed by the</w:t>
      </w:r>
      <w:r>
        <w:t xml:space="preserve"> </w:t>
      </w:r>
      <w:r>
        <w:t xml:space="preserve">Medical Researcher</w:t>
      </w:r>
      <w:r>
        <w:t xml:space="preserve"> </w:t>
      </w:r>
      <w:r>
        <w:t xml:space="preserve">personnel using the equipment and materials procured under this</w:t>
      </w:r>
      <w:r>
        <w:t xml:space="preserve"> </w:t>
      </w:r>
      <w:r>
        <w:t xml:space="preserve">Purchase Order</w:t>
      </w:r>
      <w:r>
        <w:t xml:space="preserve"> </w:t>
      </w:r>
      <w:r>
        <w:t xml:space="preserve">remain the exclusive intellectual property of the Beijing Institute of Advanced Medical Sciences. The Seller shall not access, replicate, or disclose any research data generated at the</w:t>
      </w:r>
      <w:r>
        <w:t xml:space="preserve"> </w:t>
      </w:r>
      <w:r>
        <w:t xml:space="preserve">China Beijing</w:t>
      </w:r>
      <w:r>
        <w:t xml:space="preserve"> </w:t>
      </w:r>
      <w:r>
        <w:t xml:space="preserve">facility. Both parties agree to maintain strict confidentiality in accordance with the Cybersecurity Law of the People's Republic of China and the Data Security Law effective 1 September 2021.</w:t>
      </w:r>
    </w:p>
    <w:p>
      <w:pPr>
        <w:pStyle w:val="BodyText"/>
      </w:pPr>
      <w:r>
        <w:t xml:space="preserve">7. Dispute Resolution and Governing Law</w:t>
      </w:r>
    </w:p>
    <w:p>
      <w:pPr>
        <w:pStyle w:val="BodyText"/>
      </w:pPr>
      <w:r>
        <w:t xml:space="preserve">This</w:t>
      </w:r>
      <w:r>
        <w:t xml:space="preserve"> </w:t>
      </w:r>
      <w:r>
        <w:t xml:space="preserve">Purchase Order</w:t>
      </w:r>
      <w:r>
        <w:t xml:space="preserve"> </w:t>
      </w:r>
      <w:r>
        <w:t xml:space="preserve">shall be governed by and construed in accordance with the laws of the People's Republic of China. Any disputes arising from or in connection with this document shall first be resolved through good-faith negotiation between the parties. If unresolved within 30 days, the matter shall be submitted to the Beijing Arbitration Commission (BAC) for binding arbitration in</w:t>
      </w:r>
      <w:r>
        <w:t xml:space="preserve"> </w:t>
      </w:r>
      <w:r>
        <w:t xml:space="preserve">China Beijing</w:t>
      </w:r>
      <w:r>
        <w:t xml:space="preserve">. The language of arbitration shall be English, with the Chinese translation prevailing in the event of any discrepancy.</w:t>
      </w:r>
    </w:p>
    <w:p>
      <w:pPr>
        <w:pStyle w:val="BodyText"/>
      </w:pPr>
      <w:r>
        <w:t xml:space="preserve">8. General Provisions</w:t>
      </w:r>
    </w:p>
    <w:p>
      <w:pPr>
        <w:pStyle w:val="BodyText"/>
      </w:pPr>
      <w:r>
        <w:t xml:space="preserve">This</w:t>
      </w:r>
      <w:r>
        <w:t xml:space="preserve"> </w:t>
      </w:r>
      <w:r>
        <w:t xml:space="preserve">Purchase Order</w:t>
      </w:r>
      <w:r>
        <w:t xml:space="preserve"> </w:t>
      </w:r>
      <w:r>
        <w:t xml:space="preserve">constitutes the entire agreement between the Buyer and Seller regarding the procurement described herein and supersedes all prior negotiations, representations, or agreements. No amendment or modification shall be valid unless made in writing and signed by authorized representatives of both parties. Force majeure events, including but not limited to natural disasters, government-mandated lockdowns in</w:t>
      </w:r>
      <w:r>
        <w:t xml:space="preserve"> </w:t>
      </w:r>
      <w:r>
        <w:t xml:space="preserve">China Beijing</w:t>
      </w:r>
      <w:r>
        <w:t xml:space="preserve">, or international trade restrictions, shall excuse timely performance for the duration of the event. This document is executed in two (2) original counterparts, one for each party.</w:t>
      </w:r>
    </w:p>
    <w:p>
      <w:pPr>
        <w:pStyle w:val="BodyText"/>
      </w:pPr>
      <w:r>
        <w:rPr>
          <w:bCs/>
          <w:b/>
        </w:rPr>
        <w:t xml:space="preserve">For the Buyer:</w:t>
      </w:r>
      <w:r>
        <w:br/>
      </w:r>
      <w:r>
        <w:t xml:space="preserve">Beijing Institute of Advanced Medical Sciences</w:t>
      </w:r>
      <w:r>
        <w:br/>
      </w:r>
      <w:r>
        <w:t xml:space="preserve">Name: Dr. Wei Zhang</w:t>
      </w:r>
      <w:r>
        <w:br/>
      </w:r>
      <w:r>
        <w:t xml:space="preserve">Title: Chief Medical Researcher</w:t>
      </w:r>
      <w:r>
        <w:br/>
      </w:r>
      <w:r>
        <w:t xml:space="preserve">Date: _______________</w:t>
      </w:r>
    </w:p>
    <w:p>
      <w:pPr>
        <w:pStyle w:val="BodyText"/>
      </w:pPr>
      <w:r>
        <w:rPr>
          <w:bCs/>
          <w:b/>
        </w:rPr>
        <w:t xml:space="preserve">For the Seller:</w:t>
      </w:r>
      <w:r>
        <w:br/>
      </w:r>
      <w:r>
        <w:t xml:space="preserve">GlobalMed Research Equipment Co., Ltd.</w:t>
      </w:r>
      <w:r>
        <w:br/>
      </w:r>
      <w:r>
        <w:t xml:space="preserve">Name: Mr. Liang Chen</w:t>
      </w:r>
      <w:r>
        <w:br/>
      </w:r>
      <w:r>
        <w:t xml:space="preserve">Title: Sales Director</w:t>
      </w:r>
      <w:r>
        <w:br/>
      </w:r>
      <w:r>
        <w:t xml:space="preserve">Date: _______________</w:t>
      </w:r>
    </w:p>
    <w:p>
      <w:pPr>
        <w:pStyle w:val="BodyText"/>
      </w:pPr>
      <w:r>
        <w:t xml:space="preserve">Purchase Order No. PO-CB-2025-07842 — Medical Researcher Procurement — China Beijing</w:t>
      </w:r>
      <w:r>
        <w:br/>
      </w:r>
      <w:r>
        <w:t xml:space="preserve">Document Classification: Internal / Confidential — Page 1 of 1</w:t>
      </w:r>
      <w:r>
        <w:br/>
      </w:r>
      <w:r>
        <w:t xml:space="preserve">© 2025 Beijing Institute of Advanced Medical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China Beijing</dc:title>
  <dc:creator/>
  <dc:language>en</dc:language>
  <cp:keywords/>
  <dcterms:created xsi:type="dcterms:W3CDTF">2026-10-10T01:59:36Z</dcterms:created>
  <dcterms:modified xsi:type="dcterms:W3CDTF">2026-10-10T01:59:36Z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