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China</w:t>
      </w:r>
      <w:r>
        <w:t xml:space="preserve"> </w:t>
      </w:r>
      <w:r>
        <w:t xml:space="preserve">Guangzhou</w:t>
      </w:r>
    </w:p>
    <w:p>
      <w:pPr>
        <w:pStyle w:val="FirstParagraph"/>
      </w:pPr>
      <w:r>
        <w:t xml:space="preserve">PO-2025-GZ-04782</w:t>
      </w:r>
    </w:p>
    <w:p>
      <w:pPr>
        <w:pStyle w:val="BodyText"/>
      </w:pPr>
      <w:r>
        <w:t xml:space="preserve">Date: 15 June 2025</w:t>
      </w:r>
    </w:p>
    <w:p>
      <w:pPr>
        <w:pStyle w:val="BodyText"/>
      </w:pPr>
      <w:r>
        <w:t xml:space="preserve">Valid Until: 15 July 2025</w:t>
      </w:r>
    </w:p>
    <w:bookmarkStart w:id="20" w:name="purchase-order"/>
    <w:p>
      <w:pPr>
        <w:pStyle w:val="Heading1"/>
      </w:pPr>
      <w:r>
        <w:t xml:space="preserve">PURCHASE ORDER</w:t>
      </w:r>
    </w:p>
    <w:p>
      <w:pPr>
        <w:pStyle w:val="FirstParagraph"/>
      </w:pPr>
      <w:r>
        <w:t xml:space="preserve">Medical Researcher Laboratory Equipment &amp; Consumables Procurement</w:t>
      </w:r>
    </w:p>
    <w:p>
      <w:pPr>
        <w:pStyle w:val="BodyText"/>
      </w:pPr>
      <w:r>
        <w:t xml:space="preserve">Guangzhou, Guangdong Province, People's Republic of China</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Guangzhou Institute of Medical Sciences, Department of Clinical Research</w:t>
            </w:r>
          </w:p>
        </w:tc>
      </w:tr>
      <w:tr>
        <w:tc>
          <w:tcPr/>
          <w:p>
            <w:pPr>
              <w:pStyle w:val="Compact"/>
              <w:jc w:val="left"/>
            </w:pPr>
            <w:r>
              <w:rPr>
                <w:bCs/>
                <w:b/>
              </w:rPr>
              <w:t xml:space="preserve">Address:</w:t>
            </w:r>
          </w:p>
        </w:tc>
        <w:tc>
          <w:tcPr/>
          <w:p>
            <w:pPr>
              <w:pStyle w:val="Compact"/>
              <w:jc w:val="left"/>
            </w:pPr>
            <w:r>
              <w:t xml:space="preserve">Building 7, Tianhe Science Park, 382 Tianhe Road, Tianhe District, Guangzhou, Guangdong 510663, China</w:t>
            </w:r>
          </w:p>
        </w:tc>
      </w:tr>
      <w:tr>
        <w:tc>
          <w:tcPr/>
          <w:p>
            <w:pPr>
              <w:pStyle w:val="Compact"/>
              <w:jc w:val="left"/>
            </w:pPr>
            <w:r>
              <w:rPr>
                <w:bCs/>
                <w:b/>
              </w:rPr>
              <w:t xml:space="preserve">Contact Person:</w:t>
            </w:r>
          </w:p>
        </w:tc>
        <w:tc>
          <w:tcPr/>
          <w:p>
            <w:pPr>
              <w:pStyle w:val="Compact"/>
              <w:jc w:val="left"/>
            </w:pPr>
            <w:r>
              <w:t xml:space="preserve">Dr. Wei Zhang, Senior Medical Researcher &amp; Principal Investigator</w:t>
            </w:r>
          </w:p>
        </w:tc>
      </w:tr>
      <w:tr>
        <w:tc>
          <w:tcPr/>
          <w:p>
            <w:pPr>
              <w:pStyle w:val="Compact"/>
              <w:jc w:val="left"/>
            </w:pPr>
            <w:r>
              <w:rPr>
                <w:bCs/>
                <w:b/>
              </w:rPr>
              <w:t xml:space="preserve">Email:</w:t>
            </w:r>
          </w:p>
        </w:tc>
        <w:tc>
          <w:tcPr/>
          <w:p>
            <w:pPr>
              <w:pStyle w:val="Compact"/>
              <w:jc w:val="left"/>
            </w:pPr>
            <w:r>
              <w:t xml:space="preserve">w.zhang@gzims.cn</w:t>
            </w:r>
          </w:p>
        </w:tc>
      </w:tr>
      <w:tr>
        <w:tc>
          <w:tcPr/>
          <w:p>
            <w:pPr>
              <w:pStyle w:val="Compact"/>
              <w:jc w:val="left"/>
            </w:pPr>
            <w:r>
              <w:rPr>
                <w:bCs/>
                <w:b/>
              </w:rPr>
              <w:t xml:space="preserve">Telephone:</w:t>
            </w:r>
          </w:p>
        </w:tc>
        <w:tc>
          <w:tcPr/>
          <w:p>
            <w:pPr>
              <w:pStyle w:val="Compact"/>
              <w:jc w:val="left"/>
            </w:pPr>
            <w:r>
              <w:t xml:space="preserve">+86-20-8765-4321</w:t>
            </w:r>
          </w:p>
        </w:tc>
      </w:tr>
      <w:tr>
        <w:tc>
          <w:tcPr/>
          <w:p>
            <w:pPr>
              <w:pStyle w:val="Compact"/>
              <w:jc w:val="left"/>
            </w:pPr>
            <w:r>
              <w:rPr>
                <w:bCs/>
                <w:b/>
              </w:rPr>
              <w:t xml:space="preserve">Tax ID (USCC):</w:t>
            </w:r>
          </w:p>
        </w:tc>
        <w:tc>
          <w:tcPr/>
          <w:p>
            <w:pPr>
              <w:pStyle w:val="Compact"/>
              <w:jc w:val="left"/>
            </w:pPr>
            <w:r>
              <w:t xml:space="preserve">91440101MA5C8X2K7P</w:t>
            </w:r>
          </w:p>
        </w:tc>
      </w:tr>
    </w:tbl>
    <w:bookmarkEnd w:id="21"/>
    <w:bookmarkStart w:id="22" w:name="supplier-seller"/>
    <w:p>
      <w:pPr>
        <w:pStyle w:val="Heading2"/>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Canton BioTech Laboratory Solutions Co., Ltd.</w:t>
            </w:r>
          </w:p>
        </w:tc>
      </w:tr>
      <w:tr>
        <w:tc>
          <w:tcPr/>
          <w:p>
            <w:pPr>
              <w:pStyle w:val="Compact"/>
              <w:jc w:val="left"/>
            </w:pPr>
            <w:r>
              <w:rPr>
                <w:bCs/>
                <w:b/>
              </w:rPr>
              <w:t xml:space="preserve">Address:</w:t>
            </w:r>
          </w:p>
        </w:tc>
        <w:tc>
          <w:tcPr/>
          <w:p>
            <w:pPr>
              <w:pStyle w:val="Compact"/>
              <w:jc w:val="left"/>
            </w:pPr>
            <w:r>
              <w:t xml:space="preserve">No. 128 Huangpu Avenue, Huangpu District, Guangzhou, Guangdong 510700, China</w:t>
            </w:r>
          </w:p>
        </w:tc>
      </w:tr>
      <w:tr>
        <w:tc>
          <w:tcPr/>
          <w:p>
            <w:pPr>
              <w:pStyle w:val="Compact"/>
              <w:jc w:val="left"/>
            </w:pPr>
            <w:r>
              <w:rPr>
                <w:bCs/>
                <w:b/>
              </w:rPr>
              <w:t xml:space="preserve">Contact Person:</w:t>
            </w:r>
          </w:p>
        </w:tc>
        <w:tc>
          <w:tcPr/>
          <w:p>
            <w:pPr>
              <w:pStyle w:val="Compact"/>
              <w:jc w:val="left"/>
            </w:pPr>
            <w:r>
              <w:t xml:space="preserve">Mr. Liang Chen, Sales Director</w:t>
            </w:r>
          </w:p>
        </w:tc>
      </w:tr>
      <w:tr>
        <w:tc>
          <w:tcPr/>
          <w:p>
            <w:pPr>
              <w:pStyle w:val="Compact"/>
              <w:jc w:val="left"/>
            </w:pPr>
            <w:r>
              <w:rPr>
                <w:bCs/>
                <w:b/>
              </w:rPr>
              <w:t xml:space="preserve">Email:</w:t>
            </w:r>
          </w:p>
        </w:tc>
        <w:tc>
          <w:tcPr/>
          <w:p>
            <w:pPr>
              <w:pStyle w:val="Compact"/>
              <w:jc w:val="left"/>
            </w:pPr>
            <w:r>
              <w:t xml:space="preserve">l.chen@cantonbiotech.cn</w:t>
            </w:r>
          </w:p>
        </w:tc>
      </w:tr>
      <w:tr>
        <w:tc>
          <w:tcPr/>
          <w:p>
            <w:pPr>
              <w:pStyle w:val="Compact"/>
              <w:jc w:val="left"/>
            </w:pPr>
            <w:r>
              <w:rPr>
                <w:bCs/>
                <w:b/>
              </w:rPr>
              <w:t xml:space="preserve">Telephone:</w:t>
            </w:r>
          </w:p>
        </w:tc>
        <w:tc>
          <w:tcPr/>
          <w:p>
            <w:pPr>
              <w:pStyle w:val="Compact"/>
              <w:jc w:val="left"/>
            </w:pPr>
            <w:r>
              <w:t xml:space="preserve">+86-20-3891-7755</w:t>
            </w:r>
          </w:p>
        </w:tc>
      </w:tr>
      <w:tr>
        <w:tc>
          <w:tcPr/>
          <w:p>
            <w:pPr>
              <w:pStyle w:val="Compact"/>
              <w:jc w:val="left"/>
            </w:pPr>
            <w:r>
              <w:rPr>
                <w:bCs/>
                <w:b/>
              </w:rPr>
              <w:t xml:space="preserve">Tax ID (USCC):</w:t>
            </w:r>
          </w:p>
        </w:tc>
        <w:tc>
          <w:tcPr/>
          <w:p>
            <w:pPr>
              <w:pStyle w:val="Compact"/>
              <w:jc w:val="left"/>
            </w:pPr>
            <w:r>
              <w:t xml:space="preserve">91440112MA9D3F6R2Q</w:t>
            </w:r>
          </w:p>
        </w:tc>
      </w:tr>
    </w:tbl>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by the Guangzhou Institute of Medical Sciences to procure specialized laboratory equipment, reagents, and consumables required for the ongoing research programme led by</w:t>
      </w:r>
      <w:r>
        <w:t xml:space="preserve"> </w:t>
      </w:r>
      <w:r>
        <w:t xml:space="preserve">Medical Researcher</w:t>
      </w:r>
      <w:r>
        <w:t xml:space="preserve"> </w:t>
      </w:r>
      <w:r>
        <w:t xml:space="preserve">Dr. Wei Zhang. The research project, titled "Genomic Analysis of Respiratory Pathogens in the Pearl River Delta Region," is conducted within the facilities located in</w:t>
      </w:r>
      <w:r>
        <w:t xml:space="preserve"> </w:t>
      </w:r>
      <w:r>
        <w:t xml:space="preserve">China Guangzhou</w:t>
      </w:r>
      <w:r>
        <w:t xml:space="preserve"> </w:t>
      </w:r>
      <w:r>
        <w:t xml:space="preserve">and is funded under the National Natural Science Foundation of China (Grant No. 82370456). All items listed in this Purchase Order are intended exclusively for use by the designated</w:t>
      </w:r>
      <w:r>
        <w:t xml:space="preserve"> </w:t>
      </w:r>
      <w:r>
        <w:t xml:space="preserve">Medical Researcher</w:t>
      </w:r>
      <w:r>
        <w:t xml:space="preserve"> </w:t>
      </w:r>
      <w:r>
        <w:t xml:space="preserve">and their laboratory team in the performance of peer-reviewed scientific investigations.</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Real-Time PCR Thermal Cycler (96-well, for genomic sequencing by Medical Researcher team)</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High-Performance Liquid Chromatography System (HPLC) with UV-Vis Detector</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Class II Biological Safety Cabinet (BSL-2, for pathogen handling by Medical Researcher)</w:t>
            </w:r>
          </w:p>
        </w:tc>
        <w:tc>
          <w:tcPr/>
          <w:p>
            <w:pPr>
              <w:pStyle w:val="Compact"/>
              <w:jc w:val="left"/>
            </w:pPr>
            <w:r>
              <w:t xml:space="preserve">3</w:t>
            </w:r>
          </w:p>
        </w:tc>
        <w:tc>
          <w:tcPr/>
          <w:p>
            <w:pPr>
              <w:pStyle w:val="Compact"/>
              <w:jc w:val="left"/>
            </w:pPr>
            <w:r>
              <w:t xml:space="preserve">Unit</w:t>
            </w:r>
          </w:p>
        </w:tc>
        <w:tc>
          <w:tcPr/>
          <w:p>
            <w:pPr>
              <w:pStyle w:val="Compact"/>
              <w:jc w:val="left"/>
            </w:pPr>
            <w:r>
              <w:t xml:space="preserve">68,500.00</w:t>
            </w:r>
          </w:p>
        </w:tc>
        <w:tc>
          <w:tcPr/>
          <w:p>
            <w:pPr>
              <w:pStyle w:val="Compact"/>
              <w:jc w:val="left"/>
            </w:pPr>
            <w:r>
              <w:t xml:space="preserve">205,500.00</w:t>
            </w:r>
          </w:p>
        </w:tc>
      </w:tr>
      <w:tr>
        <w:tc>
          <w:tcPr/>
          <w:p>
            <w:pPr>
              <w:pStyle w:val="Compact"/>
              <w:jc w:val="left"/>
            </w:pPr>
            <w:r>
              <w:t xml:space="preserve">04</w:t>
            </w:r>
          </w:p>
        </w:tc>
        <w:tc>
          <w:tcPr/>
          <w:p>
            <w:pPr>
              <w:pStyle w:val="Compact"/>
              <w:jc w:val="left"/>
            </w:pPr>
            <w:r>
              <w:t xml:space="preserve">Ultra-Low Temperature Freezer (-80°C, 470L, for sample storage)</w:t>
            </w:r>
          </w:p>
        </w:tc>
        <w:tc>
          <w:tcPr/>
          <w:p>
            <w:pPr>
              <w:pStyle w:val="Compact"/>
              <w:jc w:val="left"/>
            </w:pPr>
            <w:r>
              <w:t xml:space="preserve">2</w:t>
            </w:r>
          </w:p>
        </w:tc>
        <w:tc>
          <w:tcPr/>
          <w:p>
            <w:pPr>
              <w:pStyle w:val="Compact"/>
              <w:jc w:val="left"/>
            </w:pPr>
            <w:r>
              <w:t xml:space="preserve">Unit</w:t>
            </w:r>
          </w:p>
        </w:tc>
        <w:tc>
          <w:tcPr/>
          <w:p>
            <w:pPr>
              <w:pStyle w:val="Compact"/>
              <w:jc w:val="left"/>
            </w:pPr>
            <w:r>
              <w:t xml:space="preserve">52,000.00</w:t>
            </w:r>
          </w:p>
        </w:tc>
        <w:tc>
          <w:tcPr/>
          <w:p>
            <w:pPr>
              <w:pStyle w:val="Compact"/>
              <w:jc w:val="left"/>
            </w:pPr>
            <w:r>
              <w:t xml:space="preserve">104,000.00</w:t>
            </w:r>
          </w:p>
        </w:tc>
      </w:tr>
      <w:tr>
        <w:tc>
          <w:tcPr/>
          <w:p>
            <w:pPr>
              <w:pStyle w:val="Compact"/>
              <w:jc w:val="left"/>
            </w:pPr>
            <w:r>
              <w:t xml:space="preserve">05</w:t>
            </w:r>
          </w:p>
        </w:tc>
        <w:tc>
          <w:tcPr/>
          <w:p>
            <w:pPr>
              <w:pStyle w:val="Compact"/>
              <w:jc w:val="left"/>
            </w:pPr>
            <w:r>
              <w:t xml:space="preserve">Centrifuge, Refrigerated (15,000 RPM, 24x1.5mL capacity)</w:t>
            </w:r>
          </w:p>
        </w:tc>
        <w:tc>
          <w:tcPr/>
          <w:p>
            <w:pPr>
              <w:pStyle w:val="Compact"/>
              <w:jc w:val="left"/>
            </w:pPr>
            <w:r>
              <w:t xml:space="preserve">4</w:t>
            </w:r>
          </w:p>
        </w:tc>
        <w:tc>
          <w:tcPr/>
          <w:p>
            <w:pPr>
              <w:pStyle w:val="Compact"/>
              <w:jc w:val="left"/>
            </w:pPr>
            <w:r>
              <w:t xml:space="preserve">Unit</w:t>
            </w:r>
          </w:p>
        </w:tc>
        <w:tc>
          <w:tcPr/>
          <w:p>
            <w:pPr>
              <w:pStyle w:val="Compact"/>
              <w:jc w:val="left"/>
            </w:pPr>
            <w:r>
              <w:t xml:space="preserve">38,000.00</w:t>
            </w:r>
          </w:p>
        </w:tc>
        <w:tc>
          <w:tcPr/>
          <w:p>
            <w:pPr>
              <w:pStyle w:val="Compact"/>
              <w:jc w:val="left"/>
            </w:pPr>
            <w:r>
              <w:t xml:space="preserve">152,000.00</w:t>
            </w:r>
          </w:p>
        </w:tc>
      </w:tr>
      <w:tr>
        <w:tc>
          <w:tcPr/>
          <w:p>
            <w:pPr>
              <w:pStyle w:val="Compact"/>
              <w:jc w:val="left"/>
            </w:pPr>
            <w:r>
              <w:t xml:space="preserve">06</w:t>
            </w:r>
          </w:p>
        </w:tc>
        <w:tc>
          <w:tcPr/>
          <w:p>
            <w:pPr>
              <w:pStyle w:val="Compact"/>
              <w:jc w:val="left"/>
            </w:pPr>
            <w:r>
              <w:t xml:space="preserve">Nucleic Acid Extraction Kit (500 tests per kit, for genomic research)</w:t>
            </w:r>
          </w:p>
        </w:tc>
        <w:tc>
          <w:tcPr/>
          <w:p>
            <w:pPr>
              <w:pStyle w:val="Compact"/>
              <w:jc w:val="left"/>
            </w:pPr>
            <w:r>
              <w:t xml:space="preserve">20</w:t>
            </w:r>
          </w:p>
        </w:tc>
        <w:tc>
          <w:tcPr/>
          <w:p>
            <w:pPr>
              <w:pStyle w:val="Compact"/>
              <w:jc w:val="left"/>
            </w:pPr>
            <w:r>
              <w:t xml:space="preserve">Kit</w:t>
            </w:r>
          </w:p>
        </w:tc>
        <w:tc>
          <w:tcPr/>
          <w:p>
            <w:pPr>
              <w:pStyle w:val="Compact"/>
              <w:jc w:val="left"/>
            </w:pPr>
            <w:r>
              <w:t xml:space="preserve">4,200.00</w:t>
            </w:r>
          </w:p>
        </w:tc>
        <w:tc>
          <w:tcPr/>
          <w:p>
            <w:pPr>
              <w:pStyle w:val="Compact"/>
              <w:jc w:val="left"/>
            </w:pPr>
            <w:r>
              <w:t xml:space="preserve">84,000.00</w:t>
            </w:r>
          </w:p>
        </w:tc>
      </w:tr>
      <w:tr>
        <w:tc>
          <w:tcPr/>
          <w:p>
            <w:pPr>
              <w:pStyle w:val="Compact"/>
              <w:jc w:val="left"/>
            </w:pPr>
            <w:r>
              <w:t xml:space="preserve">07</w:t>
            </w:r>
          </w:p>
        </w:tc>
        <w:tc>
          <w:tcPr/>
          <w:p>
            <w:pPr>
              <w:pStyle w:val="Compact"/>
              <w:jc w:val="left"/>
            </w:pPr>
            <w:r>
              <w:t xml:space="preserve">Cell Culture Media (DMEM, 500mL, sterile, for in-vitro studies)</w:t>
            </w:r>
          </w:p>
        </w:tc>
        <w:tc>
          <w:tcPr/>
          <w:p>
            <w:pPr>
              <w:pStyle w:val="Compact"/>
              <w:jc w:val="left"/>
            </w:pPr>
            <w:r>
              <w:t xml:space="preserve">100</w:t>
            </w:r>
          </w:p>
        </w:tc>
        <w:tc>
          <w:tcPr/>
          <w:p>
            <w:pPr>
              <w:pStyle w:val="Compact"/>
              <w:jc w:val="left"/>
            </w:pPr>
            <w:r>
              <w:t xml:space="preserve">Bottle</w:t>
            </w:r>
          </w:p>
        </w:tc>
        <w:tc>
          <w:tcPr/>
          <w:p>
            <w:pPr>
              <w:pStyle w:val="Compact"/>
              <w:jc w:val="left"/>
            </w:pPr>
            <w:r>
              <w:t xml:space="preserve">385.00</w:t>
            </w:r>
          </w:p>
        </w:tc>
        <w:tc>
          <w:tcPr/>
          <w:p>
            <w:pPr>
              <w:pStyle w:val="Compact"/>
              <w:jc w:val="left"/>
            </w:pPr>
            <w:r>
              <w:t xml:space="preserve">38,500.00</w:t>
            </w:r>
          </w:p>
        </w:tc>
      </w:tr>
      <w:tr>
        <w:tc>
          <w:tcPr/>
          <w:p>
            <w:pPr>
              <w:pStyle w:val="Compact"/>
              <w:jc w:val="left"/>
            </w:pPr>
            <w:r>
              <w:t xml:space="preserve">08</w:t>
            </w:r>
          </w:p>
        </w:tc>
        <w:tc>
          <w:tcPr/>
          <w:p>
            <w:pPr>
              <w:pStyle w:val="Compact"/>
              <w:jc w:val="left"/>
            </w:pPr>
            <w:r>
              <w:t xml:space="preserve">Disposable Nitrile Gloves (Size M, 100 per box, BSL-2 compliant)</w:t>
            </w:r>
          </w:p>
        </w:tc>
        <w:tc>
          <w:tcPr/>
          <w:p>
            <w:pPr>
              <w:pStyle w:val="Compact"/>
              <w:jc w:val="left"/>
            </w:pPr>
            <w:r>
              <w:t xml:space="preserve">200</w:t>
            </w:r>
          </w:p>
        </w:tc>
        <w:tc>
          <w:tcPr/>
          <w:p>
            <w:pPr>
              <w:pStyle w:val="Compact"/>
              <w:jc w:val="left"/>
            </w:pPr>
            <w:r>
              <w:t xml:space="preserve">Box</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09</w:t>
            </w:r>
          </w:p>
        </w:tc>
        <w:tc>
          <w:tcPr/>
          <w:p>
            <w:pPr>
              <w:pStyle w:val="Compact"/>
              <w:jc w:val="left"/>
            </w:pPr>
            <w:r>
              <w:t xml:space="preserve">Microscope, Inverted Phase-Contrast (1000x magnification, for cell observation)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96,000.00</w:t>
            </w:r>
          </w:p>
        </w:tc>
        <w:tc>
          <w:tcPr/>
          <w:p>
            <w:pPr>
              <w:pStyle w:val="Compact"/>
              <w:jc w:val="left"/>
            </w:pPr>
            <w:r>
              <w:t xml:space="preserve">192,000.00</w:t>
            </w:r>
          </w:p>
        </w:tc>
      </w:tr>
      <w:tr>
        <w:tc>
          <w:tcPr/>
          <w:p>
            <w:pPr>
              <w:pStyle w:val="Compact"/>
              <w:jc w:val="left"/>
            </w:pPr>
            <w:r>
              <w:t xml:space="preserve">10</w:t>
            </w:r>
          </w:p>
        </w:tc>
        <w:tc>
          <w:tcPr/>
          <w:p>
            <w:pPr>
              <w:pStyle w:val="Compact"/>
              <w:jc w:val="left"/>
            </w:pPr>
            <w:r>
              <w:t xml:space="preserve">Electrophoresis System (Gel documentation, 1D/2D, for protein analysis)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145,000.00</w:t>
            </w:r>
          </w:p>
        </w:tc>
        <w:tc>
          <w:tcPr/>
          <w:p>
            <w:pPr>
              <w:pStyle w:val="Compact"/>
              <w:jc w:val="left"/>
            </w:pPr>
            <w:r>
              <w:t xml:space="preserve">145,000.00</w:t>
            </w:r>
          </w:p>
        </w:tc>
      </w:tr>
      <w:tr>
        <w:tc>
          <w:tcPr>
            <w:gridSpan w:val="5"/>
          </w:tcPr>
          <w:p>
            <w:pPr>
              <w:pStyle w:val="Compact"/>
              <w:jc w:val="right"/>
            </w:pPr>
            <w:r>
              <w:t xml:space="preserve">Subtotal (CNY)</w:t>
            </w:r>
          </w:p>
        </w:tc>
        <w:tc>
          <w:tcPr/>
          <w:p>
            <w:pPr>
              <w:pStyle w:val="Compact"/>
              <w:jc w:val="left"/>
            </w:pPr>
            <w:r>
              <w:t xml:space="preserve">1,928,000.00</w:t>
            </w:r>
          </w:p>
        </w:tc>
      </w:tr>
      <w:tr>
        <w:tc>
          <w:tcPr>
            <w:gridSpan w:val="5"/>
          </w:tcPr>
          <w:p>
            <w:pPr>
              <w:pStyle w:val="Compact"/>
              <w:jc w:val="right"/>
            </w:pPr>
            <w:r>
              <w:t xml:space="preserve">VAT (13%)</w:t>
            </w:r>
          </w:p>
        </w:tc>
        <w:tc>
          <w:tcPr/>
          <w:p>
            <w:pPr>
              <w:pStyle w:val="Compact"/>
              <w:jc w:val="left"/>
            </w:pPr>
            <w:r>
              <w:t xml:space="preserve">250,640.00</w:t>
            </w:r>
          </w:p>
        </w:tc>
      </w:tr>
      <w:tr>
        <w:tc>
          <w:tcPr>
            <w:gridSpan w:val="5"/>
          </w:tcPr>
          <w:p>
            <w:pPr>
              <w:pStyle w:val="Compact"/>
              <w:jc w:val="right"/>
            </w:pPr>
            <w:r>
              <w:t xml:space="preserve">Grand Total (CNY)</w:t>
            </w:r>
          </w:p>
        </w:tc>
        <w:tc>
          <w:tcPr/>
          <w:p>
            <w:pPr>
              <w:pStyle w:val="Compact"/>
              <w:jc w:val="left"/>
            </w:pPr>
            <w:r>
              <w:t xml:space="preserve">2,178,640.00</w:t>
            </w:r>
          </w:p>
        </w:tc>
      </w:tr>
    </w:tbl>
    <w:bookmarkEnd w:id="24"/>
    <w:bookmarkStart w:id="25" w:name="delivery-and-installation"/>
    <w:p>
      <w:pPr>
        <w:pStyle w:val="Heading2"/>
      </w:pPr>
      <w:r>
        <w:t xml:space="preserve">5. Delivery and Installation</w:t>
      </w:r>
    </w:p>
    <w:p>
      <w:pPr>
        <w:pStyle w:val="FirstParagraph"/>
      </w:pPr>
      <w:r>
        <w:t xml:space="preserve">All items specified in this Purchase Order shall be delivered to the Guangzhou Institute of Medical Sciences laboratory facility at Building 7, Tianhe Science Park, Guangzhou, China, no later than</w:t>
      </w:r>
      <w:r>
        <w:t xml:space="preserve"> </w:t>
      </w:r>
      <w:r>
        <w:rPr>
          <w:bCs/>
          <w:b/>
        </w:rPr>
        <w:t xml:space="preserve">30 July 2025</w:t>
      </w:r>
      <w:r>
        <w:t xml:space="preserve">. The supplier is responsible for transportation, insurance, and installation of all capital equipment (Items 01 through 05, 09, and 10). Installation must be completed and verified by the designated</w:t>
      </w:r>
      <w:r>
        <w:t xml:space="preserve"> </w:t>
      </w:r>
      <w:r>
        <w:t xml:space="preserve">Medical Researcher</w:t>
      </w:r>
      <w:r>
        <w:t xml:space="preserve"> </w:t>
      </w:r>
      <w:r>
        <w:t xml:space="preserve">or their authorized laboratory manager prior to final acceptance. Consumable items (Items 06 through 08) shall be delivered in full quantity to the designated storage area within the same timeframe. Delivery to the</w:t>
      </w:r>
      <w:r>
        <w:t xml:space="preserve"> </w:t>
      </w:r>
      <w:r>
        <w:t xml:space="preserve">China Guangzhou</w:t>
      </w:r>
      <w:r>
        <w:t xml:space="preserve"> </w:t>
      </w:r>
      <w:r>
        <w:t xml:space="preserve">site shall comply with all local logistics regulations and the facility's biosafety access protocols.</w:t>
      </w:r>
    </w:p>
    <w:bookmarkEnd w:id="25"/>
    <w:bookmarkStart w:id="26" w:name="payment-terms"/>
    <w:p>
      <w:pPr>
        <w:pStyle w:val="Heading2"/>
      </w:pPr>
      <w:r>
        <w:t xml:space="preserve">6. Payment Terms</w:t>
      </w:r>
    </w:p>
    <w:p>
      <w:pPr>
        <w:numPr>
          <w:ilvl w:val="0"/>
          <w:numId w:val="1001"/>
        </w:numPr>
        <w:pStyle w:val="Compact"/>
      </w:pPr>
      <w:r>
        <w:t xml:space="preserve">A 30% advance payment (CNY 653,592.00) shall be remitted within 10 business days of the acceptance of this Purchase Order by both parties.</w:t>
      </w:r>
    </w:p>
    <w:p>
      <w:pPr>
        <w:numPr>
          <w:ilvl w:val="0"/>
          <w:numId w:val="1001"/>
        </w:numPr>
        <w:pStyle w:val="Compact"/>
      </w:pPr>
      <w:r>
        <w:t xml:space="preserve">A 60% progress payment (CNY 1,307,184.00) shall be due upon confirmed delivery and successful installation of all capital equipment at the Guangzhou facility.</w:t>
      </w:r>
    </w:p>
    <w:p>
      <w:pPr>
        <w:numPr>
          <w:ilvl w:val="0"/>
          <w:numId w:val="1001"/>
        </w:numPr>
        <w:pStyle w:val="Compact"/>
      </w:pPr>
      <w:r>
        <w:t xml:space="preserve">The remaining 10% balance (CNY 217,868.00) shall be paid within 30 days after the</w:t>
      </w:r>
      <w:r>
        <w:t xml:space="preserve"> </w:t>
      </w:r>
      <w:r>
        <w:t xml:space="preserve">Medical Researcher</w:t>
      </w:r>
      <w:r>
        <w:t xml:space="preserve"> </w:t>
      </w:r>
      <w:r>
        <w:t xml:space="preserve">issues a formal Certificate of Acceptance confirming that all equipment operates in accordance with the manufacturer's specifications and the research protocol requirements.</w:t>
      </w:r>
    </w:p>
    <w:p>
      <w:pPr>
        <w:numPr>
          <w:ilvl w:val="0"/>
          <w:numId w:val="1001"/>
        </w:numPr>
        <w:pStyle w:val="Compact"/>
      </w:pPr>
      <w:r>
        <w:t xml:space="preserve">All payments shall be made via bank transfer to the supplier's designated account: Bank of China, Huangpu Branch, Guangzhou; Account No. 7533 0123 4567 8901; SWIFT: BKCHCNBJ.</w:t>
      </w:r>
    </w:p>
    <w:p>
      <w:pPr>
        <w:numPr>
          <w:ilvl w:val="0"/>
          <w:numId w:val="1001"/>
        </w:numPr>
        <w:pStyle w:val="Compact"/>
      </w:pPr>
      <w:r>
        <w:t xml:space="preserve">Late payments shall incur a penalty of 0.05% per calendar day on the outstanding balance, in accordance with the Civil Code of the People's Republic of China.</w:t>
      </w:r>
    </w:p>
    <w:bookmarkEnd w:id="26"/>
    <w:bookmarkStart w:id="27" w:name="quality-assurance-and-compliance"/>
    <w:p>
      <w:pPr>
        <w:pStyle w:val="Heading2"/>
      </w:pPr>
      <w:r>
        <w:t xml:space="preserve">7. Quality Assurance and Compliance</w:t>
      </w:r>
    </w:p>
    <w:p>
      <w:pPr>
        <w:pStyle w:val="FirstParagraph"/>
      </w:pPr>
      <w:r>
        <w:t xml:space="preserve">All equipment and consumables procured under this Purchase Order must meet or exceed the standards set by the State Administration for Market Regulation (SAMR) of China and the relevant ISO 13485 medical device quality management requirements where applicable. The supplier warrants that all items are new, unused, and free from defects. The</w:t>
      </w:r>
      <w:r>
        <w:t xml:space="preserve"> </w:t>
      </w:r>
      <w:r>
        <w:t xml:space="preserve">Medical Researcher</w:t>
      </w:r>
      <w:r>
        <w:t xml:space="preserve"> </w:t>
      </w:r>
      <w:r>
        <w:t xml:space="preserve">leading the project reserves the right to reject any item that does not conform to the specifications outlined in the attached Technical Annex (Annex A). All biological reagents and kits must carry valid Chinese NMPA (National Medical Products Administration) registration or import permits. The supplier shall provide complete documentation, including certificates of analysis, material safety data sheets (MSDS), and calibration certificates, at the time of delivery to the</w:t>
      </w:r>
      <w:r>
        <w:t xml:space="preserve"> </w:t>
      </w:r>
      <w:r>
        <w:t xml:space="preserve">China Guangzhou</w:t>
      </w:r>
      <w:r>
        <w:t xml:space="preserve"> </w:t>
      </w:r>
      <w:r>
        <w:t xml:space="preserve">laboratory.</w:t>
      </w:r>
    </w:p>
    <w:bookmarkEnd w:id="27"/>
    <w:bookmarkStart w:id="28" w:name="warranty-and-after-sales-support"/>
    <w:p>
      <w:pPr>
        <w:pStyle w:val="Heading2"/>
      </w:pPr>
      <w:r>
        <w:t xml:space="preserve">8. Warranty and After-Sales Support</w:t>
      </w:r>
    </w:p>
    <w:p>
      <w:pPr>
        <w:pStyle w:val="FirstParagraph"/>
      </w:pPr>
      <w:r>
        <w:t xml:space="preserve">The supplier shall provide a minimum warranty period of twenty-four (24) months from the date of final acceptance for all capital equipment. During the warranty period, the supplier shall respond to any malfunction or defect within forty-eight (48) hours and provide on-site repair or replacement at no additional cost to the purchaser. The</w:t>
      </w:r>
      <w:r>
        <w:t xml:space="preserve"> </w:t>
      </w:r>
      <w:r>
        <w:t xml:space="preserve">Medical Researcher</w:t>
      </w:r>
      <w:r>
        <w:t xml:space="preserve"> </w:t>
      </w:r>
      <w:r>
        <w:t xml:space="preserve">and laboratory staff shall be provided with comprehensive training on the operation, maintenance, and safety procedures of all installed equipment. Training sessions shall be conducted at the Guangzhou facility and documented in writing. Consumable items carry a warranty of twelve (12) months against manufacturing defects.</w:t>
      </w:r>
    </w:p>
    <w:bookmarkEnd w:id="28"/>
    <w:bookmarkStart w:id="29" w:name="general-terms-and-conditions"/>
    <w:p>
      <w:pPr>
        <w:pStyle w:val="Heading2"/>
      </w:pPr>
      <w:r>
        <w:t xml:space="preserve">9. General Terms and Conditions</w:t>
      </w:r>
    </w:p>
    <w:p>
      <w:pPr>
        <w:numPr>
          <w:ilvl w:val="0"/>
          <w:numId w:val="1002"/>
        </w:numPr>
        <w:pStyle w:val="Compact"/>
      </w:pPr>
      <w:r>
        <w:t xml:space="preserve">This Purchase Order is governed by the laws of the People's Republic of China. Any disputes arising from this Purchase Order shall be resolved through negotiation, and if unresolved, shall be submitted to the Guangzhou International Arbitration Commission (CIETAC Guangzhou) for arbitration in Guangzhou, China.</w:t>
      </w:r>
    </w:p>
    <w:p>
      <w:pPr>
        <w:numPr>
          <w:ilvl w:val="0"/>
          <w:numId w:val="1002"/>
        </w:numPr>
        <w:pStyle w:val="Compact"/>
      </w:pPr>
      <w:r>
        <w:t xml:space="preserve">The supplier shall not subcontract any portion of the delivery or installation without prior written consent from the purchasing party.</w:t>
      </w:r>
    </w:p>
    <w:p>
      <w:pPr>
        <w:numPr>
          <w:ilvl w:val="0"/>
          <w:numId w:val="1002"/>
        </w:numPr>
        <w:pStyle w:val="Compact"/>
      </w:pPr>
      <w:r>
        <w:t xml:space="preserve">Confidentiality: The supplier acknowledges that the research conducted by the</w:t>
      </w:r>
      <w:r>
        <w:t xml:space="preserve"> </w:t>
      </w:r>
      <w:r>
        <w:t xml:space="preserve">Medical Researcher</w:t>
      </w:r>
      <w:r>
        <w:t xml:space="preserve"> </w:t>
      </w:r>
      <w:r>
        <w:t xml:space="preserve">is proprietary and confidential. No information regarding the research protocols, sample data, or project objectives shall be disclosed to any third party.</w:t>
      </w:r>
    </w:p>
    <w:p>
      <w:pPr>
        <w:numPr>
          <w:ilvl w:val="0"/>
          <w:numId w:val="1002"/>
        </w:numPr>
        <w:pStyle w:val="Compact"/>
      </w:pPr>
      <w:r>
        <w:t xml:space="preserve">Force Majeure: Neither party shall be liable for delays caused by events beyond reasonable control, including but not limited to natural disasters, government-mandated closures, or public health emergencies affecting the</w:t>
      </w:r>
      <w:r>
        <w:t xml:space="preserve"> </w:t>
      </w:r>
      <w:r>
        <w:t xml:space="preserve">China Guangzhou</w:t>
      </w:r>
      <w:r>
        <w:t xml:space="preserve"> </w:t>
      </w:r>
      <w:r>
        <w:t xml:space="preserve">region.</w:t>
      </w:r>
    </w:p>
    <w:p>
      <w:pPr>
        <w:numPr>
          <w:ilvl w:val="0"/>
          <w:numId w:val="1002"/>
        </w:numPr>
        <w:pStyle w:val="Compact"/>
      </w:pPr>
      <w:r>
        <w:t xml:space="preserve">This Purchase Order becomes effective upon signature by both authorized representatives and remains valid until all obligations are fulfilled.</w:t>
      </w:r>
    </w:p>
    <w:p>
      <w:pPr>
        <w:numPr>
          <w:ilvl w:val="0"/>
          <w:numId w:val="1002"/>
        </w:numPr>
        <w:pStyle w:val="Compact"/>
      </w:pPr>
      <w:r>
        <w:t xml:space="preserve">Any amendments to this Purchase Order must be made in writing and signed by both parties.</w:t>
      </w:r>
    </w:p>
    <w:bookmarkEnd w:id="29"/>
    <w:bookmarkStart w:id="30" w:name="authorization-and-signatures"/>
    <w:p>
      <w:pPr>
        <w:pStyle w:val="Heading2"/>
      </w:pPr>
      <w:r>
        <w:t xml:space="preserve">10. Authorization and Signatures</w:t>
      </w:r>
    </w:p>
    <w:p>
      <w:pPr>
        <w:pStyle w:val="FirstParagraph"/>
      </w:pPr>
      <w:r>
        <w:t xml:space="preserve">This Purchase Order is issued and authorized by the undersigned on behalf of the Guangzhou Institute of Medical Sciences for the procurement of laboratory resources in support of the</w:t>
      </w:r>
      <w:r>
        <w:t xml:space="preserve"> </w:t>
      </w:r>
      <w:r>
        <w:t xml:space="preserve">Medical Researcher</w:t>
      </w:r>
      <w:r>
        <w:t xml:space="preserve"> </w:t>
      </w:r>
      <w:r>
        <w:t xml:space="preserve">programme. The supplier confirms acceptance of all terms, conditions, and delivery obligations set forth herein.</w:t>
      </w:r>
    </w:p>
    <w:bookmarkEnd w:id="30"/>
    <w:p>
      <w:pPr>
        <w:pStyle w:val="BodyText"/>
      </w:pPr>
      <w:r>
        <w:rPr>
          <w:bCs/>
          <w:b/>
        </w:rPr>
        <w:t xml:space="preserve">For the Purchasing Party:</w:t>
      </w:r>
      <w:r>
        <w:br/>
      </w:r>
      <w:r>
        <w:br/>
      </w:r>
      <w:r>
        <w:t xml:space="preserve">______________________________</w:t>
      </w:r>
      <w:r>
        <w:br/>
      </w:r>
      <w:r>
        <w:t xml:space="preserve">Dr. Wei Zhang</w:t>
      </w:r>
      <w:r>
        <w:br/>
      </w:r>
      <w:r>
        <w:t xml:space="preserve">Senior Medical Researcher &amp; Principal Investigator</w:t>
      </w:r>
      <w:r>
        <w:br/>
      </w:r>
      <w:r>
        <w:t xml:space="preserve">Guangzhou Institute of Medical Sciences</w:t>
      </w:r>
      <w:r>
        <w:br/>
      </w:r>
      <w:r>
        <w:t xml:space="preserve">Date: _______________</w:t>
      </w:r>
    </w:p>
    <w:p>
      <w:pPr>
        <w:pStyle w:val="BodyText"/>
      </w:pPr>
      <w:r>
        <w:rPr>
          <w:bCs/>
          <w:b/>
        </w:rPr>
        <w:t xml:space="preserve">For the Supplier:</w:t>
      </w:r>
      <w:r>
        <w:br/>
      </w:r>
      <w:r>
        <w:br/>
      </w:r>
      <w:r>
        <w:t xml:space="preserve">______________________________</w:t>
      </w:r>
      <w:r>
        <w:br/>
      </w:r>
      <w:r>
        <w:t xml:space="preserve">Mr. Liang Chen</w:t>
      </w:r>
      <w:r>
        <w:br/>
      </w:r>
      <w:r>
        <w:t xml:space="preserve">Sales Director</w:t>
      </w:r>
      <w:r>
        <w:br/>
      </w:r>
      <w:r>
        <w:t xml:space="preserve">Canton BioTech Laboratory Solutions Co., Ltd.</w:t>
      </w:r>
      <w:r>
        <w:br/>
      </w:r>
      <w:r>
        <w:t xml:space="preserve">Date: _______________</w:t>
      </w:r>
    </w:p>
    <w:p>
      <w:pPr>
        <w:pStyle w:val="BodyText"/>
      </w:pPr>
      <w:r>
        <w:t xml:space="preserve">Purchase Order No. PO-2025-GZ-04782 | Guangzhou Institute of Medical Sciences | Tianhe District, Guangzhou, Guangdong, China</w:t>
      </w:r>
      <w:r>
        <w:br/>
      </w:r>
      <w:r>
        <w:t xml:space="preserve">This document is the property of the Guangzhou Institute of Medical Sciences. Unauthorized reproduction or distribution is prohibited.</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China Guangzhou</dc:title>
  <dc:creator/>
  <dc:language>en</dc:language>
  <cp:keywords/>
  <dcterms:created xsi:type="dcterms:W3CDTF">2026-10-10T08:52:51Z</dcterms:created>
  <dcterms:modified xsi:type="dcterms:W3CDTF">2026-10-10T08:52:51Z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