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Cairo Medical Research Institute (CMRI)</w:t>
      </w:r>
    </w:p>
    <w:p>
      <w:pPr>
        <w:pStyle w:val="BodyText"/>
      </w:pPr>
      <w:r>
        <w:t xml:space="preserve">12 El-Tahrir Street, Downtown District, Cairo, Egypt 11511</w:t>
      </w:r>
    </w:p>
    <w:p>
      <w:pPr>
        <w:pStyle w:val="BodyText"/>
      </w:pPr>
      <w:r>
        <w:t xml:space="preserve">Tel: +20 2 2578 4433 | Email: procurement@cmri-cairo.org.eg</w:t>
      </w:r>
    </w:p>
    <w:p>
      <w:pPr>
        <w:pStyle w:val="BodyText"/>
      </w:pPr>
      <w:r>
        <w:t xml:space="preserve">Commercial Registration No. 482910 | Tax ID: 552-881-334</w:t>
      </w:r>
    </w:p>
    <w:bookmarkEnd w:id="20"/>
    <w:p>
      <w:pPr>
        <w:pStyle w:val="BodyText"/>
      </w:pPr>
      <w:r>
        <w:rPr>
          <w:bCs/>
          <w:b/>
        </w:rPr>
        <w:t xml:space="preserve">Purchase Order No.:</w:t>
      </w:r>
      <w:r>
        <w:t xml:space="preserve"> </w:t>
      </w:r>
      <w:r>
        <w:t xml:space="preserve">PO-CMRI-2025-0487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Dr. Amira Hassan, Lead Medical Researcher</w:t>
      </w:r>
      <w:r>
        <w:br/>
      </w:r>
      <w:r>
        <w:rPr>
          <w:bCs/>
          <w:b/>
        </w:rPr>
        <w:t xml:space="preserve">Department:</w:t>
      </w:r>
      <w:r>
        <w:t xml:space="preserve"> </w:t>
      </w:r>
      <w:r>
        <w:t xml:space="preserve">Molecular Biology &amp; Clinical Research</w:t>
      </w:r>
      <w:r>
        <w:br/>
      </w:r>
      <w:r>
        <w:rPr>
          <w:bCs/>
          <w:b/>
        </w:rPr>
        <w:t xml:space="preserve">Location:</w:t>
      </w:r>
      <w:r>
        <w:t xml:space="preserve"> </w:t>
      </w:r>
      <w:r>
        <w:t xml:space="preserve">Cairo, Egypt</w:t>
      </w:r>
    </w:p>
    <w:p>
      <w:pPr>
        <w:pStyle w:val="BodyText"/>
      </w:pPr>
      <w:r>
        <w:rPr>
          <w:bCs/>
          <w:b/>
        </w:rPr>
        <w:t xml:space="preserve">Seller:</w:t>
      </w:r>
      <w:r>
        <w:t xml:space="preserve"> </w:t>
      </w:r>
      <w:r>
        <w:t xml:space="preserve">MedSupply Egypt S.A.E.</w:t>
      </w:r>
      <w:r>
        <w:br/>
      </w:r>
      <w:r>
        <w:rPr>
          <w:bCs/>
          <w:b/>
        </w:rPr>
        <w:t xml:space="preserve">Address:</w:t>
      </w:r>
      <w:r>
        <w:t xml:space="preserve"> </w:t>
      </w:r>
      <w:r>
        <w:t xml:space="preserve">45 Nasr City Industrial Zone, Cairo, Egypt</w:t>
      </w:r>
      <w:r>
        <w:br/>
      </w:r>
      <w:r>
        <w:rPr>
          <w:bCs/>
          <w:b/>
        </w:rPr>
        <w:t xml:space="preserve">Contact:</w:t>
      </w:r>
      <w:r>
        <w:t xml:space="preserve"> </w:t>
      </w:r>
      <w:r>
        <w:t xml:space="preserve">+20 2 2685 7721</w:t>
      </w:r>
    </w:p>
    <w:p>
      <w:pPr>
        <w:pStyle w:val="BodyText"/>
      </w:pPr>
      <w:r>
        <w:t xml:space="preserve">1. PURPOSE AND SCOPE OF THIS PURCHASE ORDER</w:t>
      </w:r>
    </w:p>
    <w:p>
      <w:pPr>
        <w:pStyle w:val="BodyText"/>
      </w:pPr>
      <w:r>
        <w:t xml:space="preserve">This Purchase Order is issued by the Cairo Medical Research Institute to procure specialized laboratory equipment, reagents, and consumables required for the ongoing research program led by Dr. Amira Hassan, a senior Medical Researcher specializing in oncology and molecular diagnostics. This Purchase Order covers all items necessary to support the Medical Researcher's work in the development of novel biomarker assays for early-stage cancer detection, a project funded under the Egyptian Ministry of Health and Population's National Research Grant (Ref: NRG-2025-0112). All goods specified in this Purchase Order must be delivered to the CMRI laboratory facilities located in the Downtown District of Cairo, Egypt, in full compliance with Egyptian regulatory standards and the Egyptian Organization for Standardization and Quality (EOS) guidelines.</w:t>
      </w:r>
    </w:p>
    <w:p>
      <w:pPr>
        <w:pStyle w:val="BodyText"/>
      </w:pPr>
      <w:r>
        <w:t xml:space="preserve">2. ITEMIZED LIST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 / Model</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Real-Time PCR Thermal Cycler (for Medical Researcher use in gene expression studies)</w:t>
            </w:r>
          </w:p>
        </w:tc>
        <w:tc>
          <w:tcPr/>
          <w:p>
            <w:pPr>
              <w:pStyle w:val="Compact"/>
              <w:jc w:val="left"/>
            </w:pPr>
            <w:r>
              <w:t xml:space="preserve">Applied Biosystems 7500</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High-Performance Liquid Chromatography System (HPLC) for metabolite analysis</w:t>
            </w:r>
          </w:p>
        </w:tc>
        <w:tc>
          <w:tcPr/>
          <w:p>
            <w:pPr>
              <w:pStyle w:val="Compact"/>
              <w:jc w:val="left"/>
            </w:pPr>
            <w:r>
              <w:t xml:space="preserve">Agilent 1260 Infinity II</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Cryogenic Freezer (-80°C) for biological sample storage</w:t>
            </w:r>
          </w:p>
        </w:tc>
        <w:tc>
          <w:tcPr/>
          <w:p>
            <w:pPr>
              <w:pStyle w:val="Compact"/>
              <w:jc w:val="left"/>
            </w:pPr>
            <w:r>
              <w:t xml:space="preserve">Thermo Fisher TSX Ultra</w:t>
            </w:r>
          </w:p>
        </w:tc>
        <w:tc>
          <w:tcPr/>
          <w:p>
            <w:pPr>
              <w:pStyle w:val="Compact"/>
              <w:jc w:val="left"/>
            </w:pPr>
            <w:r>
              <w:t xml:space="preserve">2</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04</w:t>
            </w:r>
          </w:p>
        </w:tc>
        <w:tc>
          <w:tcPr/>
          <w:p>
            <w:pPr>
              <w:pStyle w:val="Compact"/>
              <w:jc w:val="left"/>
            </w:pPr>
            <w:r>
              <w:t xml:space="preserve">Cell Culture Incubator with CO₂ control (for in-vitro Medical Researcher experiments)</w:t>
            </w:r>
          </w:p>
        </w:tc>
        <w:tc>
          <w:tcPr/>
          <w:p>
            <w:pPr>
              <w:pStyle w:val="Compact"/>
              <w:jc w:val="left"/>
            </w:pPr>
            <w:r>
              <w:t xml:space="preserve">Eppendorf 5014i</w:t>
            </w:r>
          </w:p>
        </w:tc>
        <w:tc>
          <w:tcPr/>
          <w:p>
            <w:pPr>
              <w:pStyle w:val="Compact"/>
              <w:jc w:val="left"/>
            </w:pPr>
            <w:r>
              <w:t xml:space="preserve">2</w:t>
            </w:r>
          </w:p>
        </w:tc>
        <w:tc>
          <w:tcPr/>
          <w:p>
            <w:pPr>
              <w:pStyle w:val="Compact"/>
              <w:jc w:val="left"/>
            </w:pPr>
            <w:r>
              <w:t xml:space="preserve">148,500.00</w:t>
            </w:r>
          </w:p>
        </w:tc>
        <w:tc>
          <w:tcPr/>
          <w:p>
            <w:pPr>
              <w:pStyle w:val="Compact"/>
              <w:jc w:val="left"/>
            </w:pPr>
            <w:r>
              <w:t xml:space="preserve">297,000.00</w:t>
            </w:r>
          </w:p>
        </w:tc>
      </w:tr>
      <w:tr>
        <w:tc>
          <w:tcPr/>
          <w:p>
            <w:pPr>
              <w:pStyle w:val="Compact"/>
              <w:jc w:val="left"/>
            </w:pPr>
            <w:r>
              <w:t xml:space="preserve">05</w:t>
            </w:r>
          </w:p>
        </w:tc>
        <w:tc>
          <w:tcPr/>
          <w:p>
            <w:pPr>
              <w:pStyle w:val="Compact"/>
              <w:jc w:val="left"/>
            </w:pPr>
            <w:r>
              <w:t xml:space="preserve">Fluorescence Microscope with confocal imaging module</w:t>
            </w:r>
          </w:p>
        </w:tc>
        <w:tc>
          <w:tcPr/>
          <w:p>
            <w:pPr>
              <w:pStyle w:val="Compact"/>
              <w:jc w:val="left"/>
            </w:pPr>
            <w:r>
              <w:t xml:space="preserve">Zeiss LSM 900</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06</w:t>
            </w:r>
          </w:p>
        </w:tc>
        <w:tc>
          <w:tcPr/>
          <w:p>
            <w:pPr>
              <w:pStyle w:val="Compact"/>
              <w:jc w:val="left"/>
            </w:pPr>
            <w:r>
              <w:t xml:space="preserve">Reagent Kit – RT-qRNA (500 rxns) for biomarker quantification</w:t>
            </w:r>
          </w:p>
        </w:tc>
        <w:tc>
          <w:tcPr/>
          <w:p>
            <w:pPr>
              <w:pStyle w:val="Compact"/>
              <w:jc w:val="left"/>
            </w:pPr>
            <w:r>
              <w:t xml:space="preserve">Thermo Fisher SuperScript IV</w:t>
            </w:r>
          </w:p>
        </w:tc>
        <w:tc>
          <w:tcPr/>
          <w:p>
            <w:pPr>
              <w:pStyle w:val="Compact"/>
              <w:jc w:val="left"/>
            </w:pPr>
            <w:r>
              <w:t xml:space="preserve">10</w:t>
            </w:r>
          </w:p>
        </w:tc>
        <w:tc>
          <w:tcPr/>
          <w:p>
            <w:pPr>
              <w:pStyle w:val="Compact"/>
              <w:jc w:val="left"/>
            </w:pPr>
            <w:r>
              <w:t xml:space="preserve">12,400.00</w:t>
            </w:r>
          </w:p>
        </w:tc>
        <w:tc>
          <w:tcPr/>
          <w:p>
            <w:pPr>
              <w:pStyle w:val="Compact"/>
              <w:jc w:val="left"/>
            </w:pPr>
            <w:r>
              <w:t xml:space="preserve">124,000.00</w:t>
            </w:r>
          </w:p>
        </w:tc>
      </w:tr>
      <w:tr>
        <w:tc>
          <w:tcPr/>
          <w:p>
            <w:pPr>
              <w:pStyle w:val="Compact"/>
              <w:jc w:val="left"/>
            </w:pPr>
            <w:r>
              <w:t xml:space="preserve">07</w:t>
            </w:r>
          </w:p>
        </w:tc>
        <w:tc>
          <w:tcPr/>
          <w:p>
            <w:pPr>
              <w:pStyle w:val="Compact"/>
              <w:jc w:val="left"/>
            </w:pPr>
            <w:r>
              <w:t xml:space="preserve">Antibody Panel – Oncology Biomarkers (CD20, HER2, Ki-67, P53)</w:t>
            </w:r>
          </w:p>
        </w:tc>
        <w:tc>
          <w:tcPr/>
          <w:p>
            <w:pPr>
              <w:pStyle w:val="Compact"/>
              <w:jc w:val="left"/>
            </w:pPr>
            <w:r>
              <w:t xml:space="preserve">Abcam Custom Panel</w:t>
            </w:r>
          </w:p>
        </w:tc>
        <w:tc>
          <w:tcPr/>
          <w:p>
            <w:pPr>
              <w:pStyle w:val="Compact"/>
              <w:jc w:val="left"/>
            </w:pPr>
            <w:r>
              <w:t xml:space="preserve">20</w:t>
            </w:r>
          </w:p>
        </w:tc>
        <w:tc>
          <w:tcPr/>
          <w:p>
            <w:pPr>
              <w:pStyle w:val="Compact"/>
              <w:jc w:val="left"/>
            </w:pPr>
            <w:r>
              <w:t xml:space="preserve">8,750.00</w:t>
            </w:r>
          </w:p>
        </w:tc>
        <w:tc>
          <w:tcPr/>
          <w:p>
            <w:pPr>
              <w:pStyle w:val="Compact"/>
              <w:jc w:val="left"/>
            </w:pPr>
            <w:r>
              <w:t xml:space="preserve">175,000.00</w:t>
            </w:r>
          </w:p>
        </w:tc>
      </w:tr>
      <w:tr>
        <w:tc>
          <w:tcPr/>
          <w:p>
            <w:pPr>
              <w:pStyle w:val="Compact"/>
              <w:jc w:val="left"/>
            </w:pPr>
            <w:r>
              <w:t xml:space="preserve">08</w:t>
            </w:r>
          </w:p>
        </w:tc>
        <w:tc>
          <w:tcPr/>
          <w:p>
            <w:pPr>
              <w:pStyle w:val="Compact"/>
              <w:jc w:val="left"/>
            </w:pPr>
            <w:r>
              <w:t xml:space="preserve">Disposable Lab Consumables (pipette tips, microcentrifuge tubes, gloves – 12-month supply)</w:t>
            </w:r>
          </w:p>
        </w:tc>
        <w:tc>
          <w:tcPr/>
          <w:p>
            <w:pPr>
              <w:pStyle w:val="Compact"/>
              <w:jc w:val="left"/>
            </w:pPr>
            <w:r>
              <w:t xml:space="preserve">Various (Corning, Eppendorf)</w:t>
            </w:r>
          </w:p>
        </w:tc>
        <w:tc>
          <w:tcPr/>
          <w:p>
            <w:pPr>
              <w:pStyle w:val="Compact"/>
              <w:jc w:val="left"/>
            </w:pPr>
            <w:r>
              <w:t xml:space="preserve">1 Lot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09</w:t>
            </w:r>
          </w:p>
        </w:tc>
        <w:tc>
          <w:tcPr/>
          <w:p>
            <w:pPr>
              <w:pStyle w:val="Compact"/>
              <w:jc w:val="left"/>
            </w:pPr>
            <w:r>
              <w:t xml:space="preserve">Software License – Bioinformatics Analysis Suite (3-year subscription)</w:t>
            </w:r>
          </w:p>
        </w:tc>
        <w:tc>
          <w:tcPr/>
          <w:p>
            <w:pPr>
              <w:pStyle w:val="Compact"/>
              <w:jc w:val="left"/>
            </w:pPr>
            <w:r>
              <w:t xml:space="preserve">QIIME 2 / Galaxy Pro</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10</w:t>
            </w:r>
          </w:p>
        </w:tc>
        <w:tc>
          <w:tcPr/>
          <w:p>
            <w:pPr>
              <w:pStyle w:val="Compact"/>
              <w:jc w:val="left"/>
            </w:pPr>
            <w:r>
              <w:t xml:space="preserve">Installation, Calibration &amp; Training Service for all equipment (delivered in Cairo, Egypt)</w:t>
            </w:r>
          </w:p>
        </w:tc>
        <w:tc>
          <w:tcPr/>
          <w:p>
            <w:pPr>
              <w:pStyle w:val="Compact"/>
              <w:jc w:val="left"/>
            </w:pPr>
            <w:r>
              <w:t xml:space="preserve">On-site by MedSupply Egypt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3,812,500.00</w:t>
            </w:r>
          </w:p>
        </w:tc>
      </w:tr>
      <w:tr>
        <w:tc>
          <w:tcPr/>
          <w:p>
            <w:pPr>
              <w:pStyle w:val="Compact"/>
              <w:jc w:val="left"/>
            </w:pPr>
            <w:r>
              <w:t xml:space="preserve">VAT 14% (Egyptian Tax Authority)</w:t>
            </w:r>
          </w:p>
        </w:tc>
        <w:tc>
          <w:tcPr/>
          <w:p>
            <w:pPr>
              <w:pStyle w:val="Compact"/>
              <w:jc w:val="right"/>
            </w:pPr>
            <w:r>
              <w:t xml:space="preserve">533,750.00</w:t>
            </w:r>
          </w:p>
        </w:tc>
      </w:tr>
      <w:tr>
        <w:tc>
          <w:tcPr/>
          <w:p>
            <w:pPr>
              <w:pStyle w:val="Compact"/>
              <w:jc w:val="left"/>
            </w:pPr>
            <w:r>
              <w:t xml:space="preserve">Shipping &amp; Handling within Cairo, Egypt</w:t>
            </w:r>
          </w:p>
        </w:tc>
        <w:tc>
          <w:tcPr/>
          <w:p>
            <w:pPr>
              <w:pStyle w:val="Compact"/>
              <w:jc w:val="right"/>
            </w:pPr>
            <w:r>
              <w:t xml:space="preserve">28,500.00</w:t>
            </w:r>
          </w:p>
        </w:tc>
      </w:tr>
      <w:tr>
        <w:tc>
          <w:tcPr/>
          <w:p>
            <w:pPr>
              <w:pStyle w:val="Compact"/>
              <w:jc w:val="left"/>
            </w:pPr>
            <w:r>
              <w:t xml:space="preserve">GRAND TOTAL (EGP)</w:t>
            </w:r>
          </w:p>
        </w:tc>
        <w:tc>
          <w:tcPr/>
          <w:p>
            <w:pPr>
              <w:pStyle w:val="Compact"/>
              <w:jc w:val="right"/>
            </w:pPr>
            <w:r>
              <w:t xml:space="preserve">4,374,750.00</w:t>
            </w:r>
          </w:p>
        </w:tc>
      </w:tr>
    </w:tbl>
    <w:p>
      <w:pPr>
        <w:pStyle w:val="BodyText"/>
      </w:pPr>
      <w:r>
        <w:t xml:space="preserve">3. DELIVERY TERMS AND LOGISTICS</w:t>
      </w:r>
    </w:p>
    <w:p>
      <w:pPr>
        <w:pStyle w:val="BodyText"/>
      </w:pPr>
      <w:r>
        <w:t xml:space="preserve">All items listed in this Purchase Order shall be delivered to the Cairo Medical Research Institute main laboratory, 12 El-Tahrir Street, Downtown District, Cairo, Egypt, within thirty (30) calendar days from the date of this Purchase Order. The seller, MedSupply Egypt S.A.E., is responsible for all transportation, customs clearance (if applicable for imported components), and insurance of goods until they are received and signed for by the designated Medical Researcher or her authorized laboratory manager at the Cairo facility. Delivery must be scheduled between 08:00 and 16:00 Egypt Standard Time (EET, UTC+2) on business days. The seller must provide a minimum of five (5) business days' written notice prior to delivery to allow the Medical Researcher's team to prepare the receiving area and ensure proper environmental conditions (temperature, humidity, and clean-room access) are maintained in the Cairo laboratory.</w:t>
      </w:r>
    </w:p>
    <w:p>
      <w:pPr>
        <w:pStyle w:val="BodyText"/>
      </w:pPr>
      <w:r>
        <w:t xml:space="preserve">4. PAYMENT TERMS</w:t>
      </w:r>
    </w:p>
    <w:p>
      <w:pPr>
        <w:numPr>
          <w:ilvl w:val="0"/>
          <w:numId w:val="1001"/>
        </w:numPr>
        <w:pStyle w:val="Compact"/>
      </w:pPr>
      <w:r>
        <w:rPr>
          <w:bCs/>
          <w:b/>
        </w:rPr>
        <w:t xml:space="preserve">Payment Method:</w:t>
      </w:r>
      <w:r>
        <w:t xml:space="preserve"> </w:t>
      </w:r>
      <w:r>
        <w:t xml:space="preserve">Bank transfer to MedSupply Egypt S.A.E., National Bank of Egypt, Cairo Branch, Account No. 0045-8821-3377-001, SWIFT: NBEYEGCA.</w:t>
      </w:r>
    </w:p>
    <w:p>
      <w:pPr>
        <w:numPr>
          <w:ilvl w:val="0"/>
          <w:numId w:val="1001"/>
        </w:numPr>
        <w:pStyle w:val="Compact"/>
      </w:pPr>
      <w:r>
        <w:rPr>
          <w:bCs/>
          <w:b/>
        </w:rPr>
        <w:t xml:space="preserve">Payment Schedule:</w:t>
      </w:r>
      <w:r>
        <w:t xml:space="preserve"> </w:t>
      </w:r>
      <w:r>
        <w:t xml:space="preserve">40% advance payment upon acceptance of this Purchase Order; 50% upon delivery and successful installation in Cairo, Egypt; 10% final payment upon completion of the 30-day warranty acceptance period.</w:t>
      </w:r>
    </w:p>
    <w:p>
      <w:pPr>
        <w:numPr>
          <w:ilvl w:val="0"/>
          <w:numId w:val="1001"/>
        </w:numPr>
        <w:pStyle w:val="Compact"/>
      </w:pPr>
      <w:r>
        <w:rPr>
          <w:bCs/>
          <w:b/>
        </w:rPr>
        <w:t xml:space="preserve">Currency:</w:t>
      </w:r>
      <w:r>
        <w:t xml:space="preserve"> </w:t>
      </w:r>
      <w:r>
        <w:t xml:space="preserve">All amounts are denominated in Egyptian Pounds (EGP). No foreign currency transactions are permitted under this Purchase Order.</w:t>
      </w:r>
    </w:p>
    <w:p>
      <w:pPr>
        <w:numPr>
          <w:ilvl w:val="0"/>
          <w:numId w:val="1001"/>
        </w:numPr>
        <w:pStyle w:val="Compact"/>
      </w:pPr>
      <w:r>
        <w:rPr>
          <w:bCs/>
          <w:b/>
        </w:rPr>
        <w:t xml:space="preserve">Invoice Requirements:</w:t>
      </w:r>
      <w:r>
        <w:t xml:space="preserve"> </w:t>
      </w:r>
      <w:r>
        <w:t xml:space="preserve">The seller must issue a tax-compliant invoice in accordance with the Egyptian Tax Authority regulations, referencing this Purchase Order number (PO-CMRI-2025-0487) on all documentation.</w:t>
      </w:r>
    </w:p>
    <w:p>
      <w:pPr>
        <w:pStyle w:val="FirstParagraph"/>
      </w:pPr>
      <w:r>
        <w:t xml:space="preserve">5. QUALITY, WARRANTY, AND COMPLIANCE</w:t>
      </w:r>
    </w:p>
    <w:p>
      <w:pPr>
        <w:pStyle w:val="BodyText"/>
      </w:pPr>
      <w:r>
        <w:t xml:space="preserve">All equipment and reagents supplied under this Purchase Order must be new, unused, and in original manufacturer packaging. The seller warrants that all goods conform to the specifications stated herein and comply with the Egyptian Medical Device and Laboratory Equipment Regulations issued by the Egyptian Drug Authority (EDA). A minimum two-year manufacturer warranty is required for all capital equipment. The Medical Researcher, Dr. Amira Hassan, reserves the right to inspect and test all items upon arrival at the Cairo facility. Any item found defective, damaged, or non-conforming shall be replaced at the seller's sole expense within ten (10) business days. All reagents must carry a minimum shelf life of eighteen (18) months from the date of delivery to Cairo, Egypt.</w:t>
      </w:r>
    </w:p>
    <w:p>
      <w:pPr>
        <w:pStyle w:val="BodyText"/>
      </w:pPr>
      <w:r>
        <w:t xml:space="preserve">6. GENERAL TERMS AND CONDITIONS</w:t>
      </w:r>
    </w:p>
    <w:p>
      <w:pPr>
        <w:numPr>
          <w:ilvl w:val="0"/>
          <w:numId w:val="1002"/>
        </w:numPr>
        <w:pStyle w:val="Compact"/>
      </w:pPr>
      <w:r>
        <w:t xml:space="preserve">This Purchase Order is governed by the laws of the Arab Republic of Egypt. Any disputes arising from this Purchase Order shall be subject to the exclusive jurisdiction of the competent courts in Cairo, Egypt.</w:t>
      </w:r>
    </w:p>
    <w:p>
      <w:pPr>
        <w:numPr>
          <w:ilvl w:val="0"/>
          <w:numId w:val="1002"/>
        </w:numPr>
        <w:pStyle w:val="Compact"/>
      </w:pPr>
      <w:r>
        <w:t xml:space="preserve">The seller shall not subcontract any portion of the delivery or installation services without prior written consent from the Cairo Medical Research Institute procurement office.</w:t>
      </w:r>
    </w:p>
    <w:p>
      <w:pPr>
        <w:numPr>
          <w:ilvl w:val="0"/>
          <w:numId w:val="1002"/>
        </w:numPr>
        <w:pStyle w:val="Compact"/>
      </w:pPr>
      <w:r>
        <w:t xml:space="preserve">Confidentiality: All research-related information, sample data, and project details shared in connection with this Purchase Order are classified as confidential property of the Medical Researcher and the CMRI. The seller agrees to maintain strict confidentiality and shall not disclose any such information to third parties.</w:t>
      </w:r>
    </w:p>
    <w:p>
      <w:pPr>
        <w:numPr>
          <w:ilvl w:val="0"/>
          <w:numId w:val="1002"/>
        </w:numPr>
        <w:pStyle w:val="Compact"/>
      </w:pPr>
      <w:r>
        <w:t xml:space="preserve">Force Majeure: Neither party shall be liable for delays caused by events beyond reasonable control, including but not limited to natural disasters, government-mandated closures, or supply chain disruptions affecting the Cairo, Egypt region.</w:t>
      </w:r>
    </w:p>
    <w:p>
      <w:pPr>
        <w:numPr>
          <w:ilvl w:val="0"/>
          <w:numId w:val="1002"/>
        </w:numPr>
        <w:pStyle w:val="Compact"/>
      </w:pPr>
      <w:r>
        <w:t xml:space="preserve">This Purchase Order becomes effective upon signature by both parties and remains valid until all obligations are fulfilled or the validity expiration date stated above, whichever comes first.</w:t>
      </w:r>
    </w:p>
    <w:p>
      <w:pPr>
        <w:pStyle w:val="FirstParagraph"/>
      </w:pPr>
      <w:r>
        <w:rPr>
          <w:bCs/>
          <w:b/>
        </w:rPr>
        <w:t xml:space="preserve">NOTE:</w:t>
      </w:r>
      <w:r>
        <w:t xml:space="preserve"> </w:t>
      </w:r>
      <w:r>
        <w:t xml:space="preserve">This Purchase Order is part of a broader procurement plan for the Medical Researcher's 2025–2027 research cycle at the Cairo Medical Research Institute. Additional Purchase Orders may be issued for follow-up reagent replenishment, software updates, and equipment maintenance contracts. All subsequent orders will reference this initial Purchase Order number for continuity and audit purposes.</w:t>
      </w:r>
    </w:p>
    <w:p>
      <w:pPr>
        <w:pStyle w:val="BodyText"/>
      </w:pPr>
      <w:r>
        <w:t xml:space="preserve">7. AUTHORIZATION AND SIGNATURES</w:t>
      </w:r>
    </w:p>
    <w:p>
      <w:pPr>
        <w:pStyle w:val="BodyText"/>
      </w:pPr>
      <w:r>
        <w:rPr>
          <w:bCs/>
          <w:b/>
        </w:rPr>
        <w:t xml:space="preserve">For the Buyer (Cairo Medical Research Institute):</w:t>
      </w:r>
    </w:p>
    <w:p>
      <w:pPr>
        <w:pStyle w:val="BodyText"/>
      </w:pPr>
      <w:r>
        <w:rPr>
          <w:bCs/>
          <w:b/>
        </w:rPr>
        <w:t xml:space="preserve">Dr. Amira Hassan</w:t>
      </w:r>
      <w:r>
        <w:br/>
      </w:r>
      <w:r>
        <w:t xml:space="preserve">Lead Medical Researcher, Molecular Biology &amp; Clinical Research</w:t>
      </w:r>
      <w:r>
        <w:br/>
      </w:r>
      <w:r>
        <w:t xml:space="preserve">Cairo, Egypt</w:t>
      </w:r>
      <w:r>
        <w:br/>
      </w:r>
      <w:r>
        <w:t xml:space="preserve">Date: _______________</w:t>
      </w:r>
    </w:p>
    <w:p>
      <w:pPr>
        <w:pStyle w:val="BodyText"/>
      </w:pPr>
      <w:r>
        <w:rPr>
          <w:bCs/>
          <w:b/>
        </w:rPr>
        <w:t xml:space="preserve">For the Seller (MedSupply Egypt S.A.E.):</w:t>
      </w:r>
    </w:p>
    <w:p>
      <w:pPr>
        <w:pStyle w:val="BodyText"/>
      </w:pPr>
      <w:r>
        <w:rPr>
          <w:bCs/>
          <w:b/>
        </w:rPr>
        <w:t xml:space="preserve">Mr. Khaled El-Sayed</w:t>
      </w:r>
      <w:r>
        <w:br/>
      </w:r>
      <w:r>
        <w:t xml:space="preserve">Sales Director, MedSupply Egypt S.A.E.</w:t>
      </w:r>
      <w:r>
        <w:br/>
      </w:r>
      <w:r>
        <w:t xml:space="preserve">Cairo, Egypt</w:t>
      </w:r>
      <w:r>
        <w:br/>
      </w:r>
      <w:r>
        <w:t xml:space="preserve">Date: _______________</w:t>
      </w:r>
    </w:p>
    <w:p>
      <w:pPr>
        <w:pStyle w:val="BodyText"/>
      </w:pPr>
      <w:r>
        <w:t xml:space="preserve">Purchase Order No. PO-CMRI-2025-0487 | Cairo Medical Research Institute | 12 El-Tahrir Street, Cairo, Egypt 11511</w:t>
      </w:r>
    </w:p>
    <w:p>
      <w:pPr>
        <w:pStyle w:val="BodyText"/>
      </w:pPr>
      <w:r>
        <w:t xml:space="preserve">This document is the property of the Cairo Medical Research Institute. Unauthorized reproduction or distribution is prohibited under Egyptian Intellectual Property Law No. 82 of 2002.</w:t>
      </w:r>
    </w:p>
    <w:p>
      <w:pPr>
        <w:pStyle w:val="BodyText"/>
      </w:pPr>
      <w:r>
        <w:t xml:space="preserve">Page 1 of 1 | Generated: 14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Egypt Cairo</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