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Medical Researcher Procurement Document — Indonesia Jakarta</w:t>
      </w:r>
    </w:p>
    <w:p>
      <w:pPr>
        <w:pStyle w:val="BodyText"/>
      </w:pPr>
      <w:r>
        <w:t xml:space="preserve">Document Reference: PO-JKT-MR-2025-00472</w:t>
      </w:r>
    </w:p>
    <w:bookmarkEnd w:id="20"/>
    <w:p>
      <w:pPr>
        <w:pStyle w:val="BodyText"/>
      </w:pPr>
      <w:r>
        <w:rPr>
          <w:bCs/>
          <w:b/>
        </w:rPr>
        <w:t xml:space="preserve">Purchase Order No.:</w:t>
      </w:r>
      <w:r>
        <w:t xml:space="preserve"> </w:t>
      </w:r>
      <w:r>
        <w:t xml:space="preserve">PO-JKT-MR-2025-00472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Payment Terms:</w:t>
      </w:r>
      <w:r>
        <w:t xml:space="preserve"> </w:t>
      </w:r>
      <w:r>
        <w:t xml:space="preserve">Net 45 Days</w:t>
      </w:r>
    </w:p>
    <w:p>
      <w:pPr>
        <w:pStyle w:val="BodyText"/>
      </w:pPr>
      <w:r>
        <w:rPr>
          <w:bCs/>
          <w:b/>
        </w:rPr>
        <w:t xml:space="preserve">Buyer:</w:t>
      </w:r>
      <w:r>
        <w:t xml:space="preserve"> </w:t>
      </w:r>
      <w:r>
        <w:t xml:space="preserve">National Institute of Medical Sciences</w:t>
      </w:r>
      <w:r>
        <w:br/>
      </w:r>
      <w:r>
        <w:rPr>
          <w:bCs/>
          <w:b/>
        </w:rPr>
        <w:t xml:space="preserve">Location:</w:t>
      </w:r>
      <w:r>
        <w:t xml:space="preserve"> </w:t>
      </w:r>
      <w:r>
        <w:t xml:space="preserve">Indonesia Jakarta</w:t>
      </w:r>
      <w:r>
        <w:br/>
      </w:r>
      <w:r>
        <w:rPr>
          <w:bCs/>
          <w:b/>
        </w:rPr>
        <w:t xml:space="preserve">Address:</w:t>
      </w:r>
      <w:r>
        <w:t xml:space="preserve"> </w:t>
      </w:r>
      <w:r>
        <w:t xml:space="preserve">Jl. Gatot Subroto Kav. 45, South Jakarta 12950, Indonesia</w:t>
      </w:r>
      <w:r>
        <w:br/>
      </w:r>
      <w:r>
        <w:rPr>
          <w:bCs/>
          <w:b/>
        </w:rPr>
        <w:t xml:space="preserve">Contact:</w:t>
      </w:r>
      <w:r>
        <w:t xml:space="preserve"> </w:t>
      </w:r>
      <w:r>
        <w:t xml:space="preserve">procurement@nimr-jakarta.go.id</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National Institute of Medical Sciences, Indonesia Jakarta, to formally authorize the procurement of specialized laboratory equipment, reagents, and technical services required by the designated</w:t>
      </w:r>
      <w:r>
        <w:t xml:space="preserve"> </w:t>
      </w:r>
      <w:r>
        <w:t xml:space="preserve">Medical Researcher</w:t>
      </w:r>
      <w:r>
        <w:t xml:space="preserve"> </w:t>
      </w:r>
      <w:r>
        <w:t xml:space="preserve">assigned to the Genomic Pathology and Tropical Disease Division. This</w:t>
      </w:r>
      <w:r>
        <w:t xml:space="preserve"> </w:t>
      </w:r>
      <w:r>
        <w:t xml:space="preserve">Purchase Order</w:t>
      </w:r>
      <w:r>
        <w:t xml:space="preserve"> </w:t>
      </w:r>
      <w:r>
        <w:t xml:space="preserve">governs all transactions, delivery obligations, quality standards, and compliance requirements associated with the acquisition of the items listed herein. All parties acknowledge that this</w:t>
      </w:r>
      <w:r>
        <w:t xml:space="preserve"> </w:t>
      </w:r>
      <w:r>
        <w:t xml:space="preserve">Purchase Order</w:t>
      </w:r>
      <w:r>
        <w:t xml:space="preserve"> </w:t>
      </w:r>
      <w:r>
        <w:t xml:space="preserve">is executed in accordance with the Indonesian Government Procurement Law (UU No. 3 Tahun 2021) and the institutional procurement policies of the National Institute of Medical Sciences, Indonesia Jakarta.</w:t>
      </w:r>
    </w:p>
    <w:p>
      <w:pPr>
        <w:pStyle w:val="BodyText"/>
      </w:pPr>
      <w:r>
        <w:t xml:space="preserve">The</w:t>
      </w:r>
      <w:r>
        <w:t xml:space="preserve"> </w:t>
      </w:r>
      <w:r>
        <w:t xml:space="preserve">Medical Researcher</w:t>
      </w:r>
      <w:r>
        <w:t xml:space="preserve"> </w:t>
      </w:r>
      <w:r>
        <w:t xml:space="preserve">named in this</w:t>
      </w:r>
      <w:r>
        <w:t xml:space="preserve"> </w:t>
      </w:r>
      <w:r>
        <w:t xml:space="preserve">Purchase Order</w:t>
      </w:r>
      <w:r>
        <w:t xml:space="preserve"> </w:t>
      </w:r>
      <w:r>
        <w:t xml:space="preserve">has submitted a detailed research proposal requiring the acquisition of advanced molecular biology instrumentation and consumables to support ongoing clinical trials and epidemiological studies conducted within the Indonesia Jakarta metropolitan area. The items specified in this</w:t>
      </w:r>
      <w:r>
        <w:t xml:space="preserve"> </w:t>
      </w:r>
      <w:r>
        <w:t xml:space="preserve">Purchase Order</w:t>
      </w:r>
      <w:r>
        <w:t xml:space="preserve"> </w:t>
      </w:r>
      <w:r>
        <w:t xml:space="preserve">have been selected based on the technical specifications provided by the</w:t>
      </w:r>
      <w:r>
        <w:t xml:space="preserve"> </w:t>
      </w:r>
      <w:r>
        <w:t xml:space="preserve">Medical Researcher</w:t>
      </w:r>
      <w:r>
        <w:t xml:space="preserve"> </w:t>
      </w:r>
      <w:r>
        <w:t xml:space="preserve">and approved by the Institutional Review Board (IRB) of the National Institute of Medical Sciences, Indonesia Jakarta.</w:t>
      </w:r>
    </w:p>
    <w:p>
      <w:pPr>
        <w:pStyle w:val="BodyText"/>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PT Medilab Nusantara Equipment &amp; Solutions</w:t>
            </w:r>
          </w:p>
        </w:tc>
      </w:tr>
      <w:tr>
        <w:tc>
          <w:tcPr/>
          <w:p>
            <w:pPr>
              <w:pStyle w:val="Compact"/>
              <w:jc w:val="left"/>
            </w:pPr>
            <w:r>
              <w:t xml:space="preserve">Address</w:t>
            </w:r>
          </w:p>
        </w:tc>
        <w:tc>
          <w:tcPr/>
          <w:p>
            <w:pPr>
              <w:pStyle w:val="Compact"/>
              <w:jc w:val="left"/>
            </w:pPr>
            <w:r>
              <w:t xml:space="preserve">Jl. Raya Cakung No. 112, East Jakarta 13910, Indonesia Jakarta</w:t>
            </w:r>
          </w:p>
        </w:tc>
      </w:tr>
      <w:tr>
        <w:tc>
          <w:tcPr/>
          <w:p>
            <w:pPr>
              <w:pStyle w:val="Compact"/>
              <w:jc w:val="left"/>
            </w:pPr>
            <w:r>
              <w:t xml:space="preserve">Tax ID (NPWP)</w:t>
            </w:r>
          </w:p>
        </w:tc>
        <w:tc>
          <w:tcPr/>
          <w:p>
            <w:pPr>
              <w:pStyle w:val="Compact"/>
              <w:jc w:val="left"/>
            </w:pPr>
            <w:r>
              <w:t xml:space="preserve">02.456.789.0-123.000</w:t>
            </w:r>
          </w:p>
        </w:tc>
      </w:tr>
      <w:tr>
        <w:tc>
          <w:tcPr/>
          <w:p>
            <w:pPr>
              <w:pStyle w:val="Compact"/>
              <w:jc w:val="left"/>
            </w:pPr>
            <w:r>
              <w:t xml:space="preserve">Contact Person</w:t>
            </w:r>
          </w:p>
        </w:tc>
        <w:tc>
          <w:tcPr/>
          <w:p>
            <w:pPr>
              <w:pStyle w:val="Compact"/>
              <w:jc w:val="left"/>
            </w:pPr>
            <w:r>
              <w:t xml:space="preserve">Budi Santoso, Senior Sales Manager</w:t>
            </w:r>
          </w:p>
        </w:tc>
      </w:tr>
      <w:tr>
        <w:tc>
          <w:tcPr/>
          <w:p>
            <w:pPr>
              <w:pStyle w:val="Compact"/>
              <w:jc w:val="left"/>
            </w:pPr>
            <w:r>
              <w:t xml:space="preserve">Email / Phone</w:t>
            </w:r>
          </w:p>
        </w:tc>
        <w:tc>
          <w:tcPr/>
          <w:p>
            <w:pPr>
              <w:pStyle w:val="Compact"/>
              <w:jc w:val="left"/>
            </w:pPr>
            <w:r>
              <w:t xml:space="preserve">sales@medilabnusantara.co.id / +62-21-4455-6677</w:t>
            </w:r>
          </w:p>
        </w:tc>
      </w:tr>
    </w:tbl>
    <w:p>
      <w:pPr>
        <w:pStyle w:val="BodyText"/>
      </w:pPr>
      <w:r>
        <w:t xml:space="preserve">3. Line Items — Equipment and Services for the Medical Researcher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01</w:t>
            </w:r>
          </w:p>
        </w:tc>
        <w:tc>
          <w:tcPr/>
          <w:p>
            <w:pPr>
              <w:pStyle w:val="Compact"/>
              <w:jc w:val="left"/>
            </w:pPr>
            <w:r>
              <w:t xml:space="preserve">Real-Time PCR Thermal Cycler (Applied Biosystems 7500) — for genomic analysis by the Medical Researcher</w:t>
            </w:r>
          </w:p>
        </w:tc>
        <w:tc>
          <w:tcPr/>
          <w:p>
            <w:pPr>
              <w:pStyle w:val="Compact"/>
              <w:jc w:val="left"/>
            </w:pPr>
            <w:r>
              <w:t xml:space="preserve">2</w:t>
            </w:r>
          </w:p>
        </w:tc>
        <w:tc>
          <w:tcPr/>
          <w:p>
            <w:pPr>
              <w:pStyle w:val="Compact"/>
              <w:jc w:val="left"/>
            </w:pPr>
            <w:r>
              <w:t xml:space="preserve">1,850,000,000</w:t>
            </w:r>
          </w:p>
        </w:tc>
        <w:tc>
          <w:tcPr/>
          <w:p>
            <w:pPr>
              <w:pStyle w:val="Compact"/>
              <w:jc w:val="left"/>
            </w:pPr>
            <w:r>
              <w:t xml:space="preserve">3,700,000,000</w:t>
            </w:r>
          </w:p>
        </w:tc>
      </w:tr>
      <w:tr>
        <w:tc>
          <w:tcPr/>
          <w:p>
            <w:pPr>
              <w:pStyle w:val="Compact"/>
              <w:jc w:val="left"/>
            </w:pPr>
            <w:r>
              <w:t xml:space="preserve">02</w:t>
            </w:r>
          </w:p>
        </w:tc>
        <w:tc>
          <w:tcPr/>
          <w:p>
            <w:pPr>
              <w:pStyle w:val="Compact"/>
              <w:jc w:val="left"/>
            </w:pPr>
            <w:r>
              <w:t xml:space="preserve">Next-Generation Sequencing Kit (Illumina NovaSeq 6000) — whole genome sequencing reagents</w:t>
            </w:r>
          </w:p>
        </w:tc>
        <w:tc>
          <w:tcPr/>
          <w:p>
            <w:pPr>
              <w:pStyle w:val="Compact"/>
              <w:jc w:val="left"/>
            </w:pPr>
            <w:r>
              <w:t xml:space="preserve">10</w:t>
            </w:r>
          </w:p>
        </w:tc>
        <w:tc>
          <w:tcPr/>
          <w:p>
            <w:pPr>
              <w:pStyle w:val="Compact"/>
              <w:jc w:val="left"/>
            </w:pPr>
            <w:r>
              <w:t xml:space="preserve">425,000,000</w:t>
            </w:r>
          </w:p>
        </w:tc>
        <w:tc>
          <w:tcPr/>
          <w:p>
            <w:pPr>
              <w:pStyle w:val="Compact"/>
              <w:jc w:val="left"/>
            </w:pPr>
            <w:r>
              <w:t xml:space="preserve">4,250,000,000</w:t>
            </w:r>
          </w:p>
        </w:tc>
      </w:tr>
      <w:tr>
        <w:tc>
          <w:tcPr/>
          <w:p>
            <w:pPr>
              <w:pStyle w:val="Compact"/>
              <w:jc w:val="left"/>
            </w:pPr>
            <w:r>
              <w:t xml:space="preserve">03</w:t>
            </w:r>
          </w:p>
        </w:tc>
        <w:tc>
          <w:tcPr/>
          <w:p>
            <w:pPr>
              <w:pStyle w:val="Compact"/>
              <w:jc w:val="left"/>
            </w:pPr>
            <w:r>
              <w:t xml:space="preserve">Ultra-Low Temperature Freezer (-80°C, 470L) — biological sample storage for the Medical Researcher</w:t>
            </w:r>
          </w:p>
        </w:tc>
        <w:tc>
          <w:tcPr/>
          <w:p>
            <w:pPr>
              <w:pStyle w:val="Compact"/>
              <w:jc w:val="left"/>
            </w:pPr>
            <w:r>
              <w:t xml:space="preserve">3</w:t>
            </w:r>
          </w:p>
        </w:tc>
        <w:tc>
          <w:tcPr/>
          <w:p>
            <w:pPr>
              <w:pStyle w:val="Compact"/>
              <w:jc w:val="left"/>
            </w:pPr>
            <w:r>
              <w:t xml:space="preserve">285,000,000</w:t>
            </w:r>
          </w:p>
        </w:tc>
        <w:tc>
          <w:tcPr/>
          <w:p>
            <w:pPr>
              <w:pStyle w:val="Compact"/>
              <w:jc w:val="left"/>
            </w:pPr>
            <w:r>
              <w:t xml:space="preserve">855,000,000</w:t>
            </w:r>
          </w:p>
        </w:tc>
      </w:tr>
      <w:tr>
        <w:tc>
          <w:tcPr/>
          <w:p>
            <w:pPr>
              <w:pStyle w:val="Compact"/>
              <w:jc w:val="left"/>
            </w:pPr>
            <w:r>
              <w:t xml:space="preserve">04</w:t>
            </w:r>
          </w:p>
        </w:tc>
        <w:tc>
          <w:tcPr/>
          <w:p>
            <w:pPr>
              <w:pStyle w:val="Compact"/>
              <w:jc w:val="left"/>
            </w:pPr>
            <w:r>
              <w:t xml:space="preserve">Automated Liquid Handling Workstation (Hamilton Microlab STAR) — high-throughput assay preparation</w:t>
            </w:r>
          </w:p>
        </w:tc>
        <w:tc>
          <w:tcPr/>
          <w:p>
            <w:pPr>
              <w:pStyle w:val="Compact"/>
              <w:jc w:val="left"/>
            </w:pPr>
            <w:r>
              <w:t xml:space="preserve">1</w:t>
            </w:r>
          </w:p>
        </w:tc>
        <w:tc>
          <w:tcPr/>
          <w:p>
            <w:pPr>
              <w:pStyle w:val="Compact"/>
              <w:jc w:val="left"/>
            </w:pPr>
            <w:r>
              <w:t xml:space="preserve">2,100,000,000</w:t>
            </w:r>
          </w:p>
        </w:tc>
        <w:tc>
          <w:tcPr/>
          <w:p>
            <w:pPr>
              <w:pStyle w:val="Compact"/>
              <w:jc w:val="left"/>
            </w:pPr>
            <w:r>
              <w:t xml:space="preserve">2,100,000,000</w:t>
            </w:r>
          </w:p>
        </w:tc>
      </w:tr>
      <w:tr>
        <w:tc>
          <w:tcPr/>
          <w:p>
            <w:pPr>
              <w:pStyle w:val="Compact"/>
              <w:jc w:val="left"/>
            </w:pPr>
            <w:r>
              <w:t xml:space="preserve">05</w:t>
            </w:r>
          </w:p>
        </w:tc>
        <w:tc>
          <w:tcPr/>
          <w:p>
            <w:pPr>
              <w:pStyle w:val="Compact"/>
              <w:jc w:val="left"/>
            </w:pPr>
            <w:r>
              <w:t xml:space="preserve">Confocal Laser Scanning Microscope (Zeiss LSM 980) — cellular imaging for the Medical Researcher</w:t>
            </w:r>
          </w:p>
        </w:tc>
        <w:tc>
          <w:tcPr/>
          <w:p>
            <w:pPr>
              <w:pStyle w:val="Compact"/>
              <w:jc w:val="left"/>
            </w:pPr>
            <w:r>
              <w:t xml:space="preserve">1</w:t>
            </w:r>
          </w:p>
        </w:tc>
        <w:tc>
          <w:tcPr/>
          <w:p>
            <w:pPr>
              <w:pStyle w:val="Compact"/>
              <w:jc w:val="left"/>
            </w:pPr>
            <w:r>
              <w:t xml:space="preserve">3,450,000,000</w:t>
            </w:r>
          </w:p>
        </w:tc>
        <w:tc>
          <w:tcPr/>
          <w:p>
            <w:pPr>
              <w:pStyle w:val="Compact"/>
              <w:jc w:val="left"/>
            </w:pPr>
            <w:r>
              <w:t xml:space="preserve">3,450,000,000</w:t>
            </w:r>
          </w:p>
        </w:tc>
      </w:tr>
      <w:tr>
        <w:tc>
          <w:tcPr/>
          <w:p>
            <w:pPr>
              <w:pStyle w:val="Compact"/>
              <w:jc w:val="left"/>
            </w:pPr>
            <w:r>
              <w:t xml:space="preserve">06</w:t>
            </w:r>
          </w:p>
        </w:tc>
        <w:tc>
          <w:tcPr/>
          <w:p>
            <w:pPr>
              <w:pStyle w:val="Compact"/>
              <w:jc w:val="left"/>
            </w:pPr>
            <w:r>
              <w:t xml:space="preserve">Annual Calibration and Maintenance Service Agreement — all instruments listed above</w:t>
            </w:r>
          </w:p>
        </w:tc>
        <w:tc>
          <w:tcPr/>
          <w:p>
            <w:pPr>
              <w:pStyle w:val="Compact"/>
              <w:jc w:val="left"/>
            </w:pPr>
            <w:r>
              <w:t xml:space="preserve">1</w:t>
            </w:r>
          </w:p>
        </w:tc>
        <w:tc>
          <w:tcPr/>
          <w:p>
            <w:pPr>
              <w:pStyle w:val="Compact"/>
              <w:jc w:val="left"/>
            </w:pPr>
            <w:r>
              <w:t xml:space="preserve">380,000,000</w:t>
            </w:r>
          </w:p>
        </w:tc>
        <w:tc>
          <w:tcPr/>
          <w:p>
            <w:pPr>
              <w:pStyle w:val="Compact"/>
              <w:jc w:val="left"/>
            </w:pPr>
            <w:r>
              <w:t xml:space="preserve">380,000,000</w:t>
            </w:r>
          </w:p>
        </w:tc>
      </w:tr>
      <w:tr>
        <w:tc>
          <w:tcPr/>
          <w:p>
            <w:pPr>
              <w:pStyle w:val="Compact"/>
              <w:jc w:val="left"/>
            </w:pPr>
            <w:r>
              <w:t xml:space="preserve">07</w:t>
            </w:r>
          </w:p>
        </w:tc>
        <w:tc>
          <w:tcPr/>
          <w:p>
            <w:pPr>
              <w:pStyle w:val="Compact"/>
              <w:jc w:val="left"/>
            </w:pPr>
            <w:r>
              <w:t xml:space="preserve">Technical Training Program (40 hours) for the Medical Researcher and laboratory staff — Indonesia Jakarta on-site</w:t>
            </w:r>
          </w:p>
        </w:tc>
        <w:tc>
          <w:tcPr/>
          <w:p>
            <w:pPr>
              <w:pStyle w:val="Compact"/>
              <w:jc w:val="left"/>
            </w:pPr>
            <w:r>
              <w:t xml:space="preserve">1</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08</w:t>
            </w:r>
          </w:p>
        </w:tc>
        <w:tc>
          <w:tcPr/>
          <w:p>
            <w:pPr>
              <w:pStyle w:val="Compact"/>
              <w:jc w:val="left"/>
            </w:pPr>
            <w:r>
              <w:t xml:space="preserve">Delivery, Installation, and Commissioning — Indonesia Jakarta laboratory facility</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gridSpan w:val="4"/>
          </w:tcPr>
          <w:p>
            <w:pPr>
              <w:pStyle w:val="Compact"/>
              <w:jc w:val="right"/>
            </w:pPr>
            <w:r>
              <w:t xml:space="preserve">TOTAL (Before VAT 11%)</w:t>
            </w:r>
          </w:p>
        </w:tc>
        <w:tc>
          <w:tcPr/>
          <w:p>
            <w:pPr>
              <w:pStyle w:val="Compact"/>
              <w:jc w:val="left"/>
            </w:pPr>
            <w:r>
              <w:t xml:space="preserve">15,030,000,000</w:t>
            </w:r>
          </w:p>
        </w:tc>
      </w:tr>
      <w:tr>
        <w:tc>
          <w:tcPr>
            <w:gridSpan w:val="4"/>
          </w:tcPr>
          <w:p>
            <w:pPr>
              <w:pStyle w:val="Compact"/>
              <w:jc w:val="right"/>
            </w:pPr>
            <w:r>
              <w:t xml:space="preserve">VAT (PPN) 11%</w:t>
            </w:r>
          </w:p>
        </w:tc>
        <w:tc>
          <w:tcPr/>
          <w:p>
            <w:pPr>
              <w:pStyle w:val="Compact"/>
              <w:jc w:val="left"/>
            </w:pPr>
            <w:r>
              <w:t xml:space="preserve">1,653,300,000</w:t>
            </w:r>
          </w:p>
        </w:tc>
      </w:tr>
      <w:tr>
        <w:tc>
          <w:tcPr>
            <w:gridSpan w:val="4"/>
          </w:tcPr>
          <w:p>
            <w:pPr>
              <w:pStyle w:val="Compact"/>
              <w:jc w:val="right"/>
            </w:pPr>
            <w:r>
              <w:t xml:space="preserve">GRAND TOTAL (IDR)</w:t>
            </w:r>
          </w:p>
        </w:tc>
        <w:tc>
          <w:tcPr/>
          <w:p>
            <w:pPr>
              <w:pStyle w:val="Compact"/>
              <w:jc w:val="left"/>
            </w:pPr>
            <w:r>
              <w:t xml:space="preserve">16,683,300,000</w:t>
            </w:r>
          </w:p>
        </w:tc>
      </w:tr>
    </w:tbl>
    <w:p>
      <w:pPr>
        <w:pStyle w:val="BodyText"/>
      </w:pPr>
      <w:r>
        <w:t xml:space="preserve">4. Delivery and Installation Requirements</w:t>
      </w:r>
    </w:p>
    <w:p>
      <w:pPr>
        <w:pStyle w:val="BodyText"/>
      </w:pPr>
      <w:r>
        <w:t xml:space="preserve">All items specified in this</w:t>
      </w:r>
      <w:r>
        <w:t xml:space="preserve"> </w:t>
      </w:r>
      <w:r>
        <w:t xml:space="preserve">Purchase Order</w:t>
      </w:r>
      <w:r>
        <w:t xml:space="preserve"> </w:t>
      </w:r>
      <w:r>
        <w:t xml:space="preserve">shall be delivered to the National Institute of Medical Sciences laboratory facility located in Indonesia Jakarta (South Jakarta, Jl. Gatot Subroto Kav. 45) no later than</w:t>
      </w:r>
      <w:r>
        <w:t xml:space="preserve"> </w:t>
      </w:r>
      <w:r>
        <w:rPr>
          <w:bCs/>
          <w:b/>
        </w:rPr>
        <w:t xml:space="preserve">30 August 2025</w:t>
      </w:r>
      <w:r>
        <w:t xml:space="preserve">. The supplier is responsible for all logistics, customs clearance (if applicable for imported components), insurance during transit, and final installation within the Indonesia Jakarta premises. The</w:t>
      </w:r>
      <w:r>
        <w:t xml:space="preserve"> </w:t>
      </w:r>
      <w:r>
        <w:t xml:space="preserve">Medical Researcher</w:t>
      </w:r>
      <w:r>
        <w:t xml:space="preserve"> </w:t>
      </w:r>
      <w:r>
        <w:t xml:space="preserve">shall be present during the installation and commissioning phase to verify that all equipment meets the operational specifications required for the ongoing research program. Delivery to the Indonesia Jakarta site must be coordinated with the facility management office at least five (5) business days in advance.</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National Institute of Medical Sciences, Indonesia Jakarta, and PT Medilab Nusantara Equipment &amp; Solutions upon signature by both authorized representatives.</w:t>
      </w:r>
    </w:p>
    <w:p>
      <w:pPr>
        <w:numPr>
          <w:ilvl w:val="0"/>
          <w:numId w:val="1001"/>
        </w:numPr>
        <w:pStyle w:val="Compact"/>
      </w:pPr>
      <w:r>
        <w:t xml:space="preserve">All equipment must comply with Indonesian National Standard (SNI) regulations and the Ministry of Health of the Republic of Indonesia (Kementerian Kesehatan RI) guidelines for laboratory instrumentation used in medical research.</w:t>
      </w:r>
    </w:p>
    <w:p>
      <w:pPr>
        <w:numPr>
          <w:ilvl w:val="0"/>
          <w:numId w:val="1001"/>
        </w:numPr>
        <w:pStyle w:val="Compact"/>
      </w:pPr>
      <w:r>
        <w:t xml:space="preserve">The</w:t>
      </w:r>
      <w:r>
        <w:t xml:space="preserve"> </w:t>
      </w:r>
      <w:r>
        <w:t xml:space="preserve">Medical Researcher</w:t>
      </w:r>
      <w:r>
        <w:t xml:space="preserve"> </w:t>
      </w:r>
      <w:r>
        <w:t xml:space="preserve">retains the right to inspect and reject any item that does not conform to the specifications outlined in this</w:t>
      </w:r>
      <w:r>
        <w:t xml:space="preserve"> </w:t>
      </w:r>
      <w:r>
        <w:t xml:space="preserve">Purchase Order</w:t>
      </w:r>
      <w:r>
        <w:t xml:space="preserve"> </w:t>
      </w:r>
      <w:r>
        <w:t xml:space="preserve">within fourteen (14) calendar days of delivery in Indonesia Jakarta.</w:t>
      </w:r>
    </w:p>
    <w:p>
      <w:pPr>
        <w:numPr>
          <w:ilvl w:val="0"/>
          <w:numId w:val="1001"/>
        </w:numPr>
        <w:pStyle w:val="Compact"/>
      </w:pPr>
      <w:r>
        <w:t xml:space="preserve">Warranty: All instruments carry a minimum two-year comprehensive warranty from the date of successful commissioning in Indonesia Jakarta. The supplier shall provide on-site repair service within forty-eight (48) hours of a reported malfunction.</w:t>
      </w:r>
    </w:p>
    <w:p>
      <w:pPr>
        <w:numPr>
          <w:ilvl w:val="0"/>
          <w:numId w:val="1001"/>
        </w:numPr>
        <w:pStyle w:val="Compact"/>
      </w:pPr>
      <w:r>
        <w:t xml:space="preserve">Payment shall be made via bank transfer to the supplier's designated account in Indonesia Jakarta within forty-five (45) days of receipt of a valid tax invoice (faktur pajak) and a certificate of acceptance signed by the</w:t>
      </w:r>
      <w:r>
        <w:t xml:space="preserve"> </w:t>
      </w:r>
      <w:r>
        <w:t xml:space="preserve">Medical Researcher</w:t>
      </w:r>
      <w:r>
        <w:t xml:space="preserve">.</w:t>
      </w:r>
    </w:p>
    <w:p>
      <w:pPr>
        <w:numPr>
          <w:ilvl w:val="0"/>
          <w:numId w:val="1001"/>
        </w:numPr>
        <w:pStyle w:val="Compact"/>
      </w:pPr>
      <w:r>
        <w:t xml:space="preserve">Any modification, addition, or cancellation of items in this</w:t>
      </w:r>
      <w:r>
        <w:t xml:space="preserve"> </w:t>
      </w:r>
      <w:r>
        <w:t xml:space="preserve">Purchase Order</w:t>
      </w:r>
      <w:r>
        <w:t xml:space="preserve"> </w:t>
      </w:r>
      <w:r>
        <w:t xml:space="preserve">must be documented in a written amendment signed by both parties. No verbal agreements are valid.</w:t>
      </w:r>
    </w:p>
    <w:p>
      <w:pPr>
        <w:numPr>
          <w:ilvl w:val="0"/>
          <w:numId w:val="1001"/>
        </w:numPr>
        <w:pStyle w:val="Compact"/>
      </w:pPr>
      <w:r>
        <w:t xml:space="preserve">The supplier warrants that all reagents and consumables are free from defects, are within their expiration dates, and are stored and transported in compliance with Good Laboratory Practice (GLP) standards as enforced in Indonesia Jakarta.</w:t>
      </w:r>
    </w:p>
    <w:p>
      <w:pPr>
        <w:numPr>
          <w:ilvl w:val="0"/>
          <w:numId w:val="1001"/>
        </w:numPr>
        <w:pStyle w:val="Compact"/>
      </w:pPr>
      <w:r>
        <w:t xml:space="preserve">Confidentiality: The supplier acknowledges that the</w:t>
      </w:r>
      <w:r>
        <w:t xml:space="preserve"> </w:t>
      </w:r>
      <w:r>
        <w:t xml:space="preserve">Medical Researcher</w:t>
      </w:r>
      <w:r>
        <w:t xml:space="preserve"> </w:t>
      </w:r>
      <w:r>
        <w:t xml:space="preserve">may share proprietary research protocols and data during the training and commissioning phases. All such information shall be treated as strictly confidential and shall not be disclosed to any third party without written consent from the National Institute of Medical Sciences, Indonesia Jakarta.</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resolved through mediation in Indonesia Jakarta in accordance with the laws of the Republic of Indonesia. If mediation fails, the matter shall be referred to the competent court in South Jakarta.</w:t>
      </w:r>
    </w:p>
    <w:p>
      <w:pPr>
        <w:numPr>
          <w:ilvl w:val="0"/>
          <w:numId w:val="1001"/>
        </w:numPr>
        <w:pStyle w:val="Compact"/>
      </w:pPr>
      <w:r>
        <w:t xml:space="preserve">This</w:t>
      </w:r>
      <w:r>
        <w:t xml:space="preserve"> </w:t>
      </w:r>
      <w:r>
        <w:t xml:space="preserve">Purchase Order</w:t>
      </w:r>
      <w:r>
        <w:t xml:space="preserve"> </w:t>
      </w:r>
      <w:r>
        <w:t xml:space="preserve">is subject to the Indonesian Value Added Tax (PPN) at the current rate of 11%, which is included in the grand total as stated in Section 3.</w:t>
      </w:r>
    </w:p>
    <w:p>
      <w:pPr>
        <w:pStyle w:val="FirstParagraph"/>
      </w:pPr>
      <w:r>
        <w:t xml:space="preserve">6. Authorized Signatories</w:t>
      </w:r>
    </w:p>
    <w:p>
      <w:pPr>
        <w:pStyle w:val="BodyText"/>
      </w:pPr>
      <w:r>
        <w:rPr>
          <w:bCs/>
          <w:b/>
        </w:rPr>
        <w:t xml:space="preserve">For and on behalf of the Buyer:</w:t>
      </w:r>
      <w:r>
        <w:br/>
      </w:r>
      <w:r>
        <w:t xml:space="preserve">National Institute of Medical Sciences</w:t>
      </w:r>
      <w:r>
        <w:br/>
      </w:r>
      <w:r>
        <w:t xml:space="preserve">Indonesia Jakarta</w:t>
      </w:r>
    </w:p>
    <w:p>
      <w:pPr>
        <w:pStyle w:val="BodyText"/>
      </w:pPr>
      <w:r>
        <w:rPr>
          <w:bCs/>
          <w:b/>
        </w:rPr>
        <w:t xml:space="preserve">Dr. Ratna Wulandari, MSc, PhD</w:t>
      </w:r>
      <w:r>
        <w:br/>
      </w:r>
      <w:r>
        <w:t xml:space="preserve">Director of Research &amp; Procurement</w:t>
      </w:r>
      <w:r>
        <w:br/>
      </w:r>
      <w:r>
        <w:t xml:space="preserve">Date: _______________</w:t>
      </w:r>
    </w:p>
    <w:p>
      <w:pPr>
        <w:pStyle w:val="BodyText"/>
      </w:pPr>
      <w:r>
        <w:rPr>
          <w:bCs/>
          <w:b/>
        </w:rPr>
        <w:t xml:space="preserve">For and on behalf of the Supplier:</w:t>
      </w:r>
      <w:r>
        <w:br/>
      </w:r>
      <w:r>
        <w:t xml:space="preserve">PT Medilab Nusantara Equipment &amp; Solutions</w:t>
      </w:r>
      <w:r>
        <w:br/>
      </w:r>
      <w:r>
        <w:t xml:space="preserve">Indonesia Jakarta</w:t>
      </w:r>
    </w:p>
    <w:p>
      <w:pPr>
        <w:pStyle w:val="BodyText"/>
      </w:pPr>
      <w:r>
        <w:rPr>
          <w:bCs/>
          <w:b/>
        </w:rPr>
        <w:t xml:space="preserve">Budi Santoso</w:t>
      </w:r>
      <w:r>
        <w:br/>
      </w:r>
      <w:r>
        <w:t xml:space="preserve">Senior Sales Manager</w:t>
      </w:r>
      <w:r>
        <w:br/>
      </w:r>
      <w:r>
        <w:t xml:space="preserve">Date: _______________</w:t>
      </w:r>
    </w:p>
    <w:p>
      <w:pPr>
        <w:pStyle w:val="BodyText"/>
      </w:pPr>
      <w:r>
        <w:t xml:space="preserve">7. Acknowledgment by the Medical Researcher</w:t>
      </w:r>
    </w:p>
    <w:p>
      <w:pPr>
        <w:pStyle w:val="BodyText"/>
      </w:pPr>
      <w:r>
        <w:t xml:space="preserve">I, the undersigned</w:t>
      </w:r>
      <w:r>
        <w:t xml:space="preserve"> </w:t>
      </w:r>
      <w:r>
        <w:t xml:space="preserve">Medical Researcher</w:t>
      </w:r>
      <w:r>
        <w:t xml:space="preserve">, hereby acknowledge that the items listed in this</w:t>
      </w:r>
      <w:r>
        <w:t xml:space="preserve"> </w:t>
      </w:r>
      <w:r>
        <w:t xml:space="preserve">Purchase Order</w:t>
      </w:r>
      <w:r>
        <w:t xml:space="preserve"> </w:t>
      </w:r>
      <w:r>
        <w:t xml:space="preserve">have been selected to fulfill the technical requirements of my research program at the National Institute of Medical Sciences, Indonesia Jakarta. I confirm that the specifications, quantities, and delivery timelines stated herein are accurate and sufficient for the continuation of my assigned research activities. I further confirm that I will be available during the installation, commissioning, and training phases in Indonesia Jakarta to ensure full operational readiness of all procured equipment.</w:t>
      </w:r>
    </w:p>
    <w:p>
      <w:pPr>
        <w:pStyle w:val="BodyText"/>
      </w:pPr>
      <w:r>
        <w:rPr>
          <w:bCs/>
          <w:b/>
        </w:rPr>
        <w:t xml:space="preserve">Dr. Ahmad Fauzi, MD, PhD</w:t>
      </w:r>
      <w:r>
        <w:br/>
      </w:r>
      <w:r>
        <w:t xml:space="preserve">Lead Medical Researcher</w:t>
      </w:r>
      <w:r>
        <w:br/>
      </w:r>
      <w:r>
        <w:t xml:space="preserve">Genomic Pathology &amp; Tropical Disease Division</w:t>
      </w:r>
      <w:r>
        <w:br/>
      </w:r>
      <w:r>
        <w:t xml:space="preserve">National Institute of Medical Sciences, Indonesia Jakarta</w:t>
      </w:r>
      <w:r>
        <w:br/>
      </w:r>
      <w:r>
        <w:t xml:space="preserve">Date: _______________</w:t>
      </w:r>
    </w:p>
    <w:p>
      <w:pPr>
        <w:pStyle w:val="BodyText"/>
      </w:pPr>
      <w:r>
        <w:rPr>
          <w:bCs/>
          <w:b/>
        </w:rPr>
        <w:t xml:space="preserve">Document Control:</w:t>
      </w:r>
      <w:r>
        <w:t xml:space="preserve"> </w:t>
      </w:r>
      <w:r>
        <w:t xml:space="preserve">This Purchase Order (PO-JKT-MR-2025-00472) is the official procurement document for the Medical Researcher equipment acquisition program, Indonesia Jakarta. Unauthorized reproduction or distribution of this document is prohibited. For inquiries, contact the Procurement Office, National Institute of Medical Sciences, Indonesia Jakarta, at procurement@nimr-jakarta.go.id or +62-21-520-8899. This Purchase Order is valid for a period of ninety (90) days from the date of issue. All communications regarding this Purchase Order must reference the document number PO-JKT-MR-2025-00472.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Indonesia Jakarta</dc:title>
  <dc:creator/>
  <dc:language>en</dc:language>
  <cp:keywords/>
  <dcterms:created xsi:type="dcterms:W3CDTF">2026-10-10T04:26:07Z</dcterms:created>
  <dcterms:modified xsi:type="dcterms:W3CDTF">2026-10-10T04:26:07Z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