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Biomedical Research Institute of Lazio (BRIL)</w:t>
      </w:r>
    </w:p>
    <w:p>
      <w:pPr>
        <w:pStyle w:val="BodyText"/>
      </w:pPr>
      <w:r>
        <w:t xml:space="preserve">Via della Ricerca Scientifica, 42 — 00185 Rome, Italy</w:t>
      </w:r>
    </w:p>
    <w:p>
      <w:pPr>
        <w:pStyle w:val="BodyText"/>
      </w:pPr>
      <w:r>
        <w:t xml:space="preserve">VAT: IT02345678901  |  P.IVA: 02345678901  |  Tel: +39 06 4567 8900</w:t>
      </w:r>
    </w:p>
    <w:bookmarkEnd w:id="20"/>
    <w:p>
      <w:pPr>
        <w:pStyle w:val="BodyText"/>
      </w:pPr>
      <w:r>
        <w:rPr>
          <w:bCs/>
          <w:b/>
        </w:rPr>
        <w:t xml:space="preserve">Purchase Order No.:</w:t>
      </w:r>
      <w:r>
        <w:t xml:space="preserve"> </w:t>
      </w:r>
      <w:r>
        <w:t xml:space="preserve">PO-BRIL-2025-00472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Italy Rome</w:t>
      </w:r>
      <w:r>
        <w:br/>
      </w:r>
      <w:r>
        <w:rPr>
          <w:bCs/>
          <w:b/>
        </w:rPr>
        <w:t xml:space="preserve">Department:</w:t>
      </w:r>
      <w:r>
        <w:t xml:space="preserve"> </w:t>
      </w:r>
      <w:r>
        <w:t xml:space="preserve">Advanced Medical Research Division</w:t>
      </w:r>
      <w:r>
        <w:br/>
      </w:r>
      <w:r>
        <w:rPr>
          <w:bCs/>
          <w:b/>
        </w:rPr>
        <w:t xml:space="preserve">Requested By:</w:t>
      </w:r>
      <w:r>
        <w:t xml:space="preserve"> </w:t>
      </w:r>
      <w:r>
        <w:t xml:space="preserve">Dr. Elena Marchetti, Lead Medical Researcher</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EuroLab Scientific Supplies S.r.l.</w:t>
            </w:r>
          </w:p>
        </w:tc>
        <w:tc>
          <w:tcPr/>
          <w:p>
            <w:pPr>
              <w:pStyle w:val="Compact"/>
              <w:jc w:val="left"/>
            </w:pPr>
            <w:r>
              <w:rPr>
                <w:bCs/>
                <w:b/>
              </w:rPr>
              <w:t xml:space="preserve">VAT / P.IVA:</w:t>
            </w:r>
            <w:r>
              <w:t xml:space="preserve"> </w:t>
            </w:r>
            <w:r>
              <w:t xml:space="preserve">IT09876543210</w:t>
            </w:r>
          </w:p>
        </w:tc>
      </w:tr>
      <w:tr>
        <w:tc>
          <w:tcPr/>
          <w:p>
            <w:pPr>
              <w:pStyle w:val="Compact"/>
              <w:jc w:val="left"/>
            </w:pPr>
            <w:r>
              <w:rPr>
                <w:bCs/>
                <w:b/>
              </w:rPr>
              <w:t xml:space="preserve">Address:</w:t>
            </w:r>
            <w:r>
              <w:t xml:space="preserve"> </w:t>
            </w:r>
            <w:r>
              <w:t xml:space="preserve">Via Tiburtina Valmontone, 118 — 00071 Pomezia (RM), Italy</w:t>
            </w:r>
          </w:p>
        </w:tc>
        <w:tc>
          <w:tcPr/>
          <w:p>
            <w:pPr>
              <w:pStyle w:val="Compact"/>
              <w:jc w:val="left"/>
            </w:pPr>
            <w:r>
              <w:rPr>
                <w:bCs/>
                <w:b/>
              </w:rPr>
              <w:t xml:space="preserve">Contact:</w:t>
            </w:r>
            <w:r>
              <w:t xml:space="preserve"> </w:t>
            </w:r>
            <w:r>
              <w:t xml:space="preserve">Ing. Marco Ferrante, Sales Director</w:t>
            </w:r>
          </w:p>
        </w:tc>
      </w:tr>
      <w:tr>
        <w:tc>
          <w:tcPr/>
          <w:p>
            <w:pPr>
              <w:pStyle w:val="Compact"/>
              <w:jc w:val="left"/>
            </w:pPr>
            <w:r>
              <w:rPr>
                <w:bCs/>
                <w:b/>
              </w:rPr>
              <w:t xml:space="preserve">Email:</w:t>
            </w:r>
            <w:r>
              <w:t xml:space="preserve"> </w:t>
            </w:r>
            <w:r>
              <w:t xml:space="preserve">sales@eurolab-scientific.it</w:t>
            </w:r>
          </w:p>
        </w:tc>
        <w:tc>
          <w:tcPr/>
          <w:p>
            <w:pPr>
              <w:pStyle w:val="Compact"/>
              <w:jc w:val="left"/>
            </w:pPr>
            <w:r>
              <w:rPr>
                <w:bCs/>
                <w:b/>
              </w:rPr>
              <w:t xml:space="preserve">Phone:</w:t>
            </w:r>
            <w:r>
              <w:t xml:space="preserve"> </w:t>
            </w:r>
            <w:r>
              <w:t xml:space="preserve">+39 06 7890 1234</w:t>
            </w:r>
          </w:p>
        </w:tc>
      </w:tr>
    </w:tbl>
    <w:p>
      <w:pPr>
        <w:pStyle w:val="BodyText"/>
      </w:pPr>
      <w:r>
        <w:t xml:space="preserve">Order Details — Medical Researcher Equipment &amp;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High-Resolution Confocal Microscope (Leica SP8) with fluorescence module — for cellular imaging studies conducted by the Medical Researcher team</w:t>
            </w:r>
          </w:p>
        </w:tc>
        <w:tc>
          <w:tcPr/>
          <w:p>
            <w:pPr>
              <w:pStyle w:val="Compact"/>
              <w:jc w:val="left"/>
            </w:pPr>
            <w:r>
              <w:t xml:space="preserve">LC-SP8-2025</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Real-Time PCR Thermal Cycler (Bio-Rad CFX96) with 96-well plate set — essential for the Medical Researcher's molecular biology assays</w:t>
            </w:r>
          </w:p>
        </w:tc>
        <w:tc>
          <w:tcPr/>
          <w:p>
            <w:pPr>
              <w:pStyle w:val="Compact"/>
              <w:jc w:val="left"/>
            </w:pPr>
            <w:r>
              <w:t xml:space="preserve">BR-CFX96-96</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c>
          <w:tcPr/>
          <w:p>
            <w:pPr>
              <w:pStyle w:val="Compact"/>
              <w:jc w:val="left"/>
            </w:pPr>
            <w:r>
              <w:t xml:space="preserve">21 days</w:t>
            </w:r>
          </w:p>
        </w:tc>
      </w:tr>
      <w:tr>
        <w:tc>
          <w:tcPr/>
          <w:p>
            <w:pPr>
              <w:pStyle w:val="Compact"/>
              <w:jc w:val="left"/>
            </w:pPr>
            <w:r>
              <w:t xml:space="preserve">3</w:t>
            </w:r>
          </w:p>
        </w:tc>
        <w:tc>
          <w:tcPr/>
          <w:p>
            <w:pPr>
              <w:pStyle w:val="Compact"/>
              <w:jc w:val="left"/>
            </w:pPr>
            <w:r>
              <w:t xml:space="preserve">Cell Culture Incubator (Thermo Fisher Heracell VIOS 180i) with CO</w:t>
            </w:r>
            <w:r>
              <w:rPr>
                <w:vertAlign w:val="subscript"/>
              </w:rPr>
              <w:t xml:space="preserve">2</w:t>
            </w:r>
            <w:r>
              <w:t xml:space="preserve"> </w:t>
            </w:r>
            <w:r>
              <w:t xml:space="preserve">monitoring — required for in-vitro tissue studies</w:t>
            </w:r>
          </w:p>
        </w:tc>
        <w:tc>
          <w:tcPr/>
          <w:p>
            <w:pPr>
              <w:pStyle w:val="Compact"/>
              <w:jc w:val="left"/>
            </w:pPr>
            <w:r>
              <w:t xml:space="preserve">TF-HV180i</w:t>
            </w:r>
          </w:p>
        </w:tc>
        <w:tc>
          <w:tcPr/>
          <w:p>
            <w:pPr>
              <w:pStyle w:val="Compact"/>
              <w:jc w:val="left"/>
            </w:pPr>
            <w:r>
              <w:t xml:space="preserve">3</w:t>
            </w:r>
          </w:p>
        </w:tc>
        <w:tc>
          <w:tcPr/>
          <w:p>
            <w:pPr>
              <w:pStyle w:val="Compact"/>
              <w:jc w:val="left"/>
            </w:pPr>
            <w:r>
              <w:t xml:space="preserve">8,720.00</w:t>
            </w:r>
          </w:p>
        </w:tc>
        <w:tc>
          <w:tcPr/>
          <w:p>
            <w:pPr>
              <w:pStyle w:val="Compact"/>
              <w:jc w:val="left"/>
            </w:pPr>
            <w:r>
              <w:t xml:space="preserve">26,160.00</w:t>
            </w:r>
          </w:p>
        </w:tc>
        <w:tc>
          <w:tcPr/>
          <w:p>
            <w:pPr>
              <w:pStyle w:val="Compact"/>
              <w:jc w:val="left"/>
            </w:pPr>
            <w:r>
              <w:t xml:space="preserve">14 days</w:t>
            </w:r>
          </w:p>
        </w:tc>
      </w:tr>
      <w:tr>
        <w:tc>
          <w:tcPr/>
          <w:p>
            <w:pPr>
              <w:pStyle w:val="Compact"/>
              <w:jc w:val="left"/>
            </w:pPr>
            <w:r>
              <w:t xml:space="preserve">4</w:t>
            </w:r>
          </w:p>
        </w:tc>
        <w:tc>
          <w:tcPr/>
          <w:p>
            <w:pPr>
              <w:pStyle w:val="Compact"/>
              <w:jc w:val="left"/>
            </w:pPr>
            <w:r>
              <w:t xml:space="preserve">Centrifuge, Ultra-Cool (Eppendorf 5910R) with rotor set — for sample preparation by the Medical Researcher group</w:t>
            </w:r>
          </w:p>
        </w:tc>
        <w:tc>
          <w:tcPr/>
          <w:p>
            <w:pPr>
              <w:pStyle w:val="Compact"/>
              <w:jc w:val="left"/>
            </w:pPr>
            <w:r>
              <w:t xml:space="preserve">EP-5910R</w:t>
            </w:r>
          </w:p>
        </w:tc>
        <w:tc>
          <w:tcPr/>
          <w:p>
            <w:pPr>
              <w:pStyle w:val="Compact"/>
              <w:jc w:val="left"/>
            </w:pPr>
            <w:r>
              <w:t xml:space="preserve">4</w:t>
            </w:r>
          </w:p>
        </w:tc>
        <w:tc>
          <w:tcPr/>
          <w:p>
            <w:pPr>
              <w:pStyle w:val="Compact"/>
              <w:jc w:val="left"/>
            </w:pPr>
            <w:r>
              <w:t xml:space="preserve">4,380.00</w:t>
            </w:r>
          </w:p>
        </w:tc>
        <w:tc>
          <w:tcPr/>
          <w:p>
            <w:pPr>
              <w:pStyle w:val="Compact"/>
              <w:jc w:val="left"/>
            </w:pPr>
            <w:r>
              <w:t xml:space="preserve">17,520.00</w:t>
            </w:r>
          </w:p>
        </w:tc>
        <w:tc>
          <w:tcPr/>
          <w:p>
            <w:pPr>
              <w:pStyle w:val="Compact"/>
              <w:jc w:val="left"/>
            </w:pPr>
            <w:r>
              <w:t xml:space="preserve">14 days</w:t>
            </w:r>
          </w:p>
        </w:tc>
      </w:tr>
      <w:tr>
        <w:tc>
          <w:tcPr/>
          <w:p>
            <w:pPr>
              <w:pStyle w:val="Compact"/>
              <w:jc w:val="left"/>
            </w:pPr>
            <w:r>
              <w:t xml:space="preserve">5</w:t>
            </w:r>
          </w:p>
        </w:tc>
        <w:tc>
          <w:tcPr/>
          <w:p>
            <w:pPr>
              <w:pStyle w:val="Compact"/>
              <w:jc w:val="left"/>
            </w:pPr>
            <w:r>
              <w:t xml:space="preserve">Reagent Kit: ELISA Assay Panels (24-month supply) — for immunological research protocols</w:t>
            </w:r>
          </w:p>
        </w:tc>
        <w:tc>
          <w:tcPr/>
          <w:p>
            <w:pPr>
              <w:pStyle w:val="Compact"/>
              <w:jc w:val="left"/>
            </w:pPr>
            <w:r>
              <w:t xml:space="preserve">ELISA-24M-2025</w:t>
            </w:r>
          </w:p>
        </w:tc>
        <w:tc>
          <w:tcPr/>
          <w:p>
            <w:pPr>
              <w:pStyle w:val="Compact"/>
              <w:jc w:val="left"/>
            </w:pPr>
            <w:r>
              <w:t xml:space="preserve">12</w:t>
            </w:r>
          </w:p>
        </w:tc>
        <w:tc>
          <w:tcPr/>
          <w:p>
            <w:pPr>
              <w:pStyle w:val="Compact"/>
              <w:jc w:val="left"/>
            </w:pPr>
            <w:r>
              <w:t xml:space="preserve">1,890.00</w:t>
            </w:r>
          </w:p>
        </w:tc>
        <w:tc>
          <w:tcPr/>
          <w:p>
            <w:pPr>
              <w:pStyle w:val="Compact"/>
              <w:jc w:val="left"/>
            </w:pPr>
            <w:r>
              <w:t xml:space="preserve">22,680.00</w:t>
            </w:r>
          </w:p>
        </w:tc>
        <w:tc>
          <w:tcPr/>
          <w:p>
            <w:pPr>
              <w:pStyle w:val="Compact"/>
              <w:jc w:val="left"/>
            </w:pPr>
            <w:r>
              <w:t xml:space="preserve">10 days</w:t>
            </w:r>
          </w:p>
        </w:tc>
      </w:tr>
      <w:tr>
        <w:tc>
          <w:tcPr/>
          <w:p>
            <w:pPr>
              <w:pStyle w:val="Compact"/>
              <w:jc w:val="left"/>
            </w:pPr>
            <w:r>
              <w:t xml:space="preserve">6</w:t>
            </w:r>
          </w:p>
        </w:tc>
        <w:tc>
          <w:tcPr/>
          <w:p>
            <w:pPr>
              <w:pStyle w:val="Compact"/>
              <w:jc w:val="left"/>
            </w:pPr>
            <w:r>
              <w:t xml:space="preserve">Personal Protective Equipment (PPE) — N95 masks, nitrile gloves, lab coats, safety goggles (annual bulk order for 15 researchers)</w:t>
            </w:r>
          </w:p>
        </w:tc>
        <w:tc>
          <w:tcPr/>
          <w:p>
            <w:pPr>
              <w:pStyle w:val="Compact"/>
              <w:jc w:val="left"/>
            </w:pPr>
            <w:r>
              <w:t xml:space="preserve">PPE-ANNUAL-15</w:t>
            </w:r>
          </w:p>
        </w:tc>
        <w:tc>
          <w:tcPr/>
          <w:p>
            <w:pPr>
              <w:pStyle w:val="Compact"/>
              <w:jc w:val="left"/>
            </w:pPr>
            <w:r>
              <w:t xml:space="preserve">15</w:t>
            </w:r>
          </w:p>
        </w:tc>
        <w:tc>
          <w:tcPr/>
          <w:p>
            <w:pPr>
              <w:pStyle w:val="Compact"/>
              <w:jc w:val="left"/>
            </w:pPr>
            <w:r>
              <w:t xml:space="preserve">320.00</w:t>
            </w:r>
          </w:p>
        </w:tc>
        <w:tc>
          <w:tcPr/>
          <w:p>
            <w:pPr>
              <w:pStyle w:val="Compact"/>
              <w:jc w:val="left"/>
            </w:pPr>
            <w:r>
              <w:t xml:space="preserve">4,800.00</w:t>
            </w:r>
          </w:p>
        </w:tc>
        <w:tc>
          <w:tcPr/>
          <w:p>
            <w:pPr>
              <w:pStyle w:val="Compact"/>
              <w:jc w:val="left"/>
            </w:pPr>
            <w:r>
              <w:t xml:space="preserve">7 days</w:t>
            </w:r>
          </w:p>
        </w:tc>
      </w:tr>
      <w:tr>
        <w:tc>
          <w:tcPr/>
          <w:p>
            <w:pPr>
              <w:pStyle w:val="Compact"/>
              <w:jc w:val="left"/>
            </w:pPr>
            <w:r>
              <w:t xml:space="preserve">7</w:t>
            </w:r>
          </w:p>
        </w:tc>
        <w:tc>
          <w:tcPr/>
          <w:p>
            <w:pPr>
              <w:pStyle w:val="Compact"/>
              <w:jc w:val="left"/>
            </w:pPr>
            <w:r>
              <w:t xml:space="preserve">Lab Notebook &amp; Data Management Software License (LabArchives, 3-year, 15-user) — for the Medical Researcher's documentation compliance</w:t>
            </w:r>
          </w:p>
        </w:tc>
        <w:tc>
          <w:tcPr/>
          <w:p>
            <w:pPr>
              <w:pStyle w:val="Compact"/>
              <w:jc w:val="left"/>
            </w:pPr>
            <w:r>
              <w:t xml:space="preserve">LA-3YR-15U</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c>
          <w:tcPr/>
          <w:p>
            <w:pPr>
              <w:pStyle w:val="Compact"/>
              <w:jc w:val="left"/>
            </w:pPr>
            <w:r>
              <w:t xml:space="preserve">Immediate</w:t>
            </w:r>
          </w:p>
        </w:tc>
      </w:tr>
      <w:tr>
        <w:tc>
          <w:tcPr/>
          <w:p>
            <w:pPr>
              <w:pStyle w:val="Compact"/>
              <w:jc w:val="left"/>
            </w:pPr>
            <w:r>
              <w:t xml:space="preserve">8</w:t>
            </w:r>
          </w:p>
        </w:tc>
        <w:tc>
          <w:tcPr/>
          <w:p>
            <w:pPr>
              <w:pStyle w:val="Compact"/>
              <w:jc w:val="left"/>
            </w:pPr>
            <w:r>
              <w:t xml:space="preserve">Waste Disposal &amp; Biohazard Container Set (Class II, 200L) — compliant with Italian Ministry of Health regulations for Italy Rome laboratories</w:t>
            </w:r>
          </w:p>
        </w:tc>
        <w:tc>
          <w:tcPr/>
          <w:p>
            <w:pPr>
              <w:pStyle w:val="Compact"/>
              <w:jc w:val="left"/>
            </w:pPr>
            <w:r>
              <w:t xml:space="preserve">WDC-II-200</w:t>
            </w:r>
          </w:p>
        </w:tc>
        <w:tc>
          <w:tcPr/>
          <w:p>
            <w:pPr>
              <w:pStyle w:val="Compact"/>
              <w:jc w:val="left"/>
            </w:pPr>
            <w:r>
              <w:t xml:space="preserve">6</w:t>
            </w:r>
          </w:p>
        </w:tc>
        <w:tc>
          <w:tcPr/>
          <w:p>
            <w:pPr>
              <w:pStyle w:val="Compact"/>
              <w:jc w:val="left"/>
            </w:pPr>
            <w:r>
              <w:t xml:space="preserve">540.00</w:t>
            </w:r>
          </w:p>
        </w:tc>
        <w:tc>
          <w:tcPr/>
          <w:p>
            <w:pPr>
              <w:pStyle w:val="Compact"/>
              <w:jc w:val="left"/>
            </w:pPr>
            <w:r>
              <w:t xml:space="preserve">3,240.00</w:t>
            </w:r>
          </w:p>
        </w:tc>
        <w:tc>
          <w:tcPr/>
          <w:p>
            <w:pPr>
              <w:pStyle w:val="Compact"/>
              <w:jc w:val="left"/>
            </w:pPr>
            <w:r>
              <w:t xml:space="preserve">10 days</w:t>
            </w:r>
          </w:p>
        </w:tc>
      </w:tr>
    </w:tbl>
    <w:p>
      <w:pPr>
        <w:pStyle w:val="BodyText"/>
      </w:pPr>
      <w:r>
        <w:t xml:space="preserve">Subtotal: € 391,050.00</w:t>
      </w:r>
    </w:p>
    <w:p>
      <w:pPr>
        <w:pStyle w:val="BodyText"/>
      </w:pPr>
      <w:r>
        <w:t xml:space="preserve">VAT (22% — Italian standard rate): € 86,031.00</w:t>
      </w:r>
    </w:p>
    <w:p>
      <w:pPr>
        <w:pStyle w:val="BodyText"/>
      </w:pPr>
      <w:r>
        <w:t xml:space="preserve">Shipping &amp; Installation (Rome metropolitan area): € 4,200.00</w:t>
      </w:r>
    </w:p>
    <w:p>
      <w:pPr>
        <w:pStyle w:val="BodyText"/>
      </w:pPr>
      <w:r>
        <w:t xml:space="preserve">Grand Total: € 481,281.00</w:t>
      </w:r>
    </w:p>
    <w:p>
      <w:pPr>
        <w:pStyle w:val="BodyText"/>
      </w:pPr>
      <w:r>
        <w:t xml:space="preserve">Terms &amp; Conditions</w:t>
      </w:r>
    </w:p>
    <w:p>
      <w:pPr>
        <w:numPr>
          <w:ilvl w:val="0"/>
          <w:numId w:val="1001"/>
        </w:numPr>
        <w:pStyle w:val="Compact"/>
      </w:pPr>
      <w:r>
        <w:rPr>
          <w:bCs/>
          <w:b/>
        </w:rPr>
        <w:t xml:space="preserve">Payment Terms:</w:t>
      </w:r>
      <w:r>
        <w:t xml:space="preserve"> </w:t>
      </w:r>
      <w:r>
        <w:t xml:space="preserve">40% advance payment upon confirmation of this Purchase Order; 60% balance due within 30 days of full delivery and acceptance at the Italy Rome facility. Payment shall be made via bank transfer to the supplier's designated Italian bank account (IBAN to be provided on the commercial invoice).</w:t>
      </w:r>
    </w:p>
    <w:p>
      <w:pPr>
        <w:numPr>
          <w:ilvl w:val="0"/>
          <w:numId w:val="1001"/>
        </w:numPr>
        <w:pStyle w:val="Compact"/>
      </w:pPr>
      <w:r>
        <w:rPr>
          <w:bCs/>
          <w:b/>
        </w:rPr>
        <w:t xml:space="preserve">Delivery:</w:t>
      </w:r>
      <w:r>
        <w:t xml:space="preserve"> </w:t>
      </w:r>
      <w:r>
        <w:t xml:space="preserve">All items shall be delivered to the Biomedical Research Institute of Lazio, Via della Ricerca Scientifica, 42, 00185 Rome, Italy. The supplier is responsible for all transportation, insurance, and installation within the Italy Rome premises. Delivery windows must be coordinated with the on-site Medical Researcher team to minimize disruption to ongoing experiments.</w:t>
      </w:r>
    </w:p>
    <w:p>
      <w:pPr>
        <w:numPr>
          <w:ilvl w:val="0"/>
          <w:numId w:val="1001"/>
        </w:numPr>
        <w:pStyle w:val="Compact"/>
      </w:pPr>
      <w:r>
        <w:rPr>
          <w:bCs/>
          <w:b/>
        </w:rPr>
        <w:t xml:space="preserve">Warranty:</w:t>
      </w:r>
      <w:r>
        <w:t xml:space="preserve"> </w:t>
      </w:r>
      <w:r>
        <w:t xml:space="preserve">All capital equipment (items 1–4) carries a minimum 24-month manufacturer warranty from the date of installation. Consumables and PPE (items 5–8) are covered under standard commercial warranty terms. The Medical Researcher department reserves the right to request on-site technical support during the warranty period.</w:t>
      </w:r>
    </w:p>
    <w:p>
      <w:pPr>
        <w:numPr>
          <w:ilvl w:val="0"/>
          <w:numId w:val="1001"/>
        </w:numPr>
        <w:pStyle w:val="Compact"/>
      </w:pPr>
      <w:r>
        <w:rPr>
          <w:bCs/>
          <w:b/>
        </w:rPr>
        <w:t xml:space="preserve">Compliance:</w:t>
      </w:r>
      <w:r>
        <w:t xml:space="preserve"> </w:t>
      </w:r>
      <w:r>
        <w:t xml:space="preserve">All supplied materials must comply with European Union directives (CE marking), Italian Legislative Decree 81/2008 (workplace safety), and the specific biosafety requirements set forth by the Italian Ministry of Health for medical research laboratories located in Italy Rome. The supplier shall provide all relevant technical documentation, safety data sheets (SDS), and conformity certificates in both Italian and English.</w:t>
      </w:r>
    </w:p>
    <w:p>
      <w:pPr>
        <w:numPr>
          <w:ilvl w:val="0"/>
          <w:numId w:val="1001"/>
        </w:numPr>
        <w:pStyle w:val="Compact"/>
      </w:pPr>
      <w:r>
        <w:rPr>
          <w:bCs/>
          <w:b/>
        </w:rPr>
        <w:t xml:space="preserve">Acceptance &amp; Inspection:</w:t>
      </w:r>
      <w:r>
        <w:t xml:space="preserve"> </w:t>
      </w:r>
      <w:r>
        <w:t xml:space="preserve">Upon delivery, the designated Medical Researcher (Dr. Elena Marchetti or her delegate) shall inspect all items within 5 business days. Any discrepancies, damage, or non-conformity must be reported in writing to the supplier within this period. Failure to report shall constitute acceptance of the goods.</w:t>
      </w:r>
    </w:p>
    <w:p>
      <w:pPr>
        <w:numPr>
          <w:ilvl w:val="0"/>
          <w:numId w:val="1001"/>
        </w:numPr>
        <w:pStyle w:val="Compact"/>
      </w:pPr>
      <w:r>
        <w:rPr>
          <w:bCs/>
          <w:b/>
        </w:rPr>
        <w:t xml:space="preserve">Intellectual Property &amp; Confidentiality:</w:t>
      </w:r>
      <w:r>
        <w:t xml:space="preserve"> </w:t>
      </w:r>
      <w:r>
        <w:t xml:space="preserve">The supplier acknowledges that this Purchase Order is issued in connection with sensitive medical research activities. No information regarding the specific research protocols, patient data, or experimental methodologies shall be disclosed to third parties. This clause is governed by Italian Law No. 633/1941 on intellectual property.</w:t>
      </w:r>
    </w:p>
    <w:p>
      <w:pPr>
        <w:numPr>
          <w:ilvl w:val="0"/>
          <w:numId w:val="1001"/>
        </w:numPr>
        <w:pStyle w:val="Compact"/>
      </w:pPr>
      <w:r>
        <w:rPr>
          <w:bCs/>
          <w:b/>
        </w:rPr>
        <w:t xml:space="preserve">Governing Law &amp; Jurisdiction:</w:t>
      </w:r>
      <w:r>
        <w:t xml:space="preserve"> </w:t>
      </w:r>
      <w:r>
        <w:t xml:space="preserve">This Purchase Order shall be governed by and interpreted in accordance with the laws of the Italian Republic. Any disputes arising from this order shall be subject to the exclusive jurisdiction of the Court of Rome (Tribunale di Roma), Italy.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Italy Rome or elsewhere in the European Union.</w:t>
      </w:r>
    </w:p>
    <w:p>
      <w:pPr>
        <w:numPr>
          <w:ilvl w:val="0"/>
          <w:numId w:val="1001"/>
        </w:numPr>
        <w:pStyle w:val="Compact"/>
      </w:pPr>
      <w:r>
        <w:rPr>
          <w:bCs/>
          <w:b/>
        </w:rPr>
        <w:t xml:space="preserve">Amendments:</w:t>
      </w:r>
      <w:r>
        <w:t xml:space="preserve"> </w:t>
      </w:r>
      <w:r>
        <w:t xml:space="preserve">Any modification to this Purchase Order must be made in writing and signed by both parties. Verbal agreements or email communications shall not constitute a valid amendment unless subsequently confirmed in a written addendum.</w:t>
      </w:r>
    </w:p>
    <w:p>
      <w:pPr>
        <w:pStyle w:val="FirstParagraph"/>
      </w:pPr>
      <w:r>
        <w:t xml:space="preserve">Notes &amp; Special Instructions</w:t>
      </w:r>
    </w:p>
    <w:p>
      <w:pPr>
        <w:pStyle w:val="BodyText"/>
      </w:pPr>
      <w:r>
        <w:t xml:space="preserve">This Purchase Order has been prepared at the request of the</w:t>
      </w:r>
      <w:r>
        <w:t xml:space="preserve"> </w:t>
      </w:r>
      <w:r>
        <w:t xml:space="preserve">Medical Researcher</w:t>
      </w:r>
      <w:r>
        <w:t xml:space="preserve"> </w:t>
      </w:r>
      <w:r>
        <w:t xml:space="preserve">division of BRIL to support the ongoing Phase III clinical trial on autoimmune disorders. The equipment listed herein is critical to maintaining the research timeline and ensuring that the</w:t>
      </w:r>
      <w:r>
        <w:t xml:space="preserve"> </w:t>
      </w:r>
      <w:r>
        <w:t xml:space="preserve">Medical Researcher</w:t>
      </w:r>
      <w:r>
        <w:t xml:space="preserve"> </w:t>
      </w:r>
      <w:r>
        <w:t xml:space="preserve">team can continue their work without interruption. All deliveries to the</w:t>
      </w:r>
      <w:r>
        <w:t xml:space="preserve"> </w:t>
      </w:r>
      <w:r>
        <w:t xml:space="preserve">Italy Rome</w:t>
      </w:r>
      <w:r>
        <w:t xml:space="preserve"> </w:t>
      </w:r>
      <w:r>
        <w:t xml:space="preserve">facility must be scheduled between 08:00 and 16:00 CET on weekdays. The loading dock is accessible via Gate B on Via della Ricerca Scientifica. The supplier's delivery personnel must present valid photo identification and sign the site access register upon arrival. The</w:t>
      </w:r>
      <w:r>
        <w:t xml:space="preserve"> </w:t>
      </w:r>
      <w:r>
        <w:t xml:space="preserve">Purchase Order</w:t>
      </w:r>
      <w:r>
        <w:t xml:space="preserve"> </w:t>
      </w:r>
      <w:r>
        <w:t xml:space="preserve">number must be clearly displayed on all shipping documentation and packaging to facilitate customs clearance and internal logistics tracking within the Italy Rome campus.</w:t>
      </w:r>
    </w:p>
    <w:p>
      <w:pPr>
        <w:pStyle w:val="BodyText"/>
      </w:pPr>
      <w:r>
        <w:rPr>
          <w:bCs/>
          <w:b/>
        </w:rPr>
        <w:t xml:space="preserve">Authorized by (Buyer):</w:t>
      </w:r>
    </w:p>
    <w:p>
      <w:pPr>
        <w:pStyle w:val="BodyText"/>
      </w:pPr>
      <w:r>
        <w:t xml:space="preserve">Dr. Elena Marchetti</w:t>
      </w:r>
      <w:r>
        <w:br/>
      </w:r>
      <w:r>
        <w:t xml:space="preserve">Lead Medical Researcher, BRIL</w:t>
      </w:r>
      <w:r>
        <w:br/>
      </w:r>
      <w:r>
        <w:t xml:space="preserve">Date: _______________</w:t>
      </w:r>
    </w:p>
    <w:p>
      <w:pPr>
        <w:pStyle w:val="BodyText"/>
      </w:pPr>
      <w:r>
        <w:rPr>
          <w:bCs/>
          <w:b/>
        </w:rPr>
        <w:t xml:space="preserve">Accepted by (Supplier):</w:t>
      </w:r>
    </w:p>
    <w:p>
      <w:pPr>
        <w:pStyle w:val="BodyText"/>
      </w:pPr>
      <w:r>
        <w:t xml:space="preserve">Ing. Marco Ferrante</w:t>
      </w:r>
      <w:r>
        <w:br/>
      </w:r>
      <w:r>
        <w:t xml:space="preserve">Sales Director, EuroLab Scientific Supplies S.r.l.</w:t>
      </w:r>
      <w:r>
        <w:br/>
      </w:r>
      <w:r>
        <w:t xml:space="preserve">Date: _______________</w:t>
      </w:r>
    </w:p>
    <w:p>
      <w:pPr>
        <w:pStyle w:val="BodyText"/>
      </w:pPr>
      <w:r>
        <w:t xml:space="preserve">This Purchase Order (PO-BRIL-2025-00472) is issued by the Biomedical Research Institute of Lazio, Rome, Italy. It is valid for a period of 90 days from the date of issue. For inquiries, contact the Procurement Office at procurement@bril-rome.it or +39 06 4567 8901. All communications regarding this order should reference the Purchase Order number. This document is generated in accordance with Italian public procurement regulations and EU Directive 2014/24/EU where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Italy Rome</dc:title>
  <dc:creator/>
  <dc:language>en</dc:language>
  <cp:keywords/>
  <dcterms:created xsi:type="dcterms:W3CDTF">2026-10-10T08:50:11Z</dcterms:created>
  <dcterms:modified xsi:type="dcterms:W3CDTF">2026-10-10T08:50:11Z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