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PO-JOS-2025-04872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August 2025</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Japanese Yen (JPY)</w:t>
      </w:r>
    </w:p>
    <w:p>
      <w:pPr>
        <w:pStyle w:val="BodyText"/>
      </w:pPr>
      <w:r>
        <w:rPr>
          <w:bCs/>
          <w:b/>
        </w:rPr>
        <w:t xml:space="preserve">Buyer:</w:t>
      </w:r>
      <w:r>
        <w:t xml:space="preserve"> </w:t>
      </w:r>
      <w:r>
        <w:t xml:space="preserve">Osaka Metropolitan Medical Research Institute</w:t>
      </w:r>
    </w:p>
    <w:p>
      <w:pPr>
        <w:pStyle w:val="BodyText"/>
      </w:pPr>
      <w:r>
        <w:rPr>
          <w:bCs/>
          <w:b/>
        </w:rPr>
        <w:t xml:space="preserve">Address:</w:t>
      </w:r>
      <w:r>
        <w:t xml:space="preserve"> </w:t>
      </w:r>
      <w:r>
        <w:t xml:space="preserve">3-1-51 Nakanoshima, Kita-ku, Osaka 530-0003, Japan Osaka</w:t>
      </w:r>
    </w:p>
    <w:p>
      <w:pPr>
        <w:pStyle w:val="BodyText"/>
      </w:pPr>
      <w:r>
        <w:rPr>
          <w:bCs/>
          <w:b/>
        </w:rPr>
        <w:t xml:space="preserve">Contact:</w:t>
      </w:r>
      <w:r>
        <w:t xml:space="preserve"> </w:t>
      </w:r>
      <w:r>
        <w:t xml:space="preserve">Dr. Kenji Tanaka, Procurement Director</w:t>
      </w:r>
    </w:p>
    <w:p>
      <w:pPr>
        <w:pStyle w:val="BodyText"/>
      </w:pPr>
      <w:r>
        <w:rPr>
          <w:bCs/>
          <w:b/>
        </w:rPr>
        <w:t xml:space="preserve">Email:</w:t>
      </w:r>
      <w:r>
        <w:t xml:space="preserve"> </w:t>
      </w:r>
      <w:r>
        <w:t xml:space="preserve">procurement@omMRI-osaka.jp</w:t>
      </w:r>
    </w:p>
    <w:p>
      <w:pPr>
        <w:pStyle w:val="BodyText"/>
      </w:pPr>
      <w:r>
        <w:rPr>
          <w:bCs/>
          <w:b/>
        </w:rPr>
        <w:t xml:space="preserve">Phone:</w:t>
      </w:r>
      <w:r>
        <w:t xml:space="preserve"> </w:t>
      </w:r>
      <w:r>
        <w:t xml:space="preserve">+81-6-6362-1100</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GlobalMed Scientific Instruments Co., Ltd.</w:t>
            </w:r>
          </w:p>
        </w:tc>
      </w:tr>
      <w:tr>
        <w:tc>
          <w:tcPr/>
          <w:p>
            <w:pPr>
              <w:pStyle w:val="Compact"/>
              <w:jc w:val="left"/>
            </w:pPr>
            <w:r>
              <w:t xml:space="preserve">Address</w:t>
            </w:r>
          </w:p>
        </w:tc>
        <w:tc>
          <w:tcPr/>
          <w:p>
            <w:pPr>
              <w:pStyle w:val="Compact"/>
              <w:jc w:val="left"/>
            </w:pPr>
            <w:r>
              <w:t xml:space="preserve">12-4-8 Shin-Osaka, Kita-ku, Osaka 539-8321, Japan Osaka</w:t>
            </w:r>
          </w:p>
        </w:tc>
      </w:tr>
      <w:tr>
        <w:tc>
          <w:tcPr/>
          <w:p>
            <w:pPr>
              <w:pStyle w:val="Compact"/>
              <w:jc w:val="left"/>
            </w:pPr>
            <w:r>
              <w:t xml:space="preserve">Registration No.</w:t>
            </w:r>
          </w:p>
        </w:tc>
        <w:tc>
          <w:tcPr/>
          <w:p>
            <w:pPr>
              <w:pStyle w:val="Compact"/>
              <w:jc w:val="left"/>
            </w:pPr>
            <w:r>
              <w:t xml:space="preserve">JP-OSK-2019-447821</w:t>
            </w:r>
          </w:p>
        </w:tc>
      </w:tr>
      <w:tr>
        <w:tc>
          <w:tcPr/>
          <w:p>
            <w:pPr>
              <w:pStyle w:val="Compact"/>
              <w:jc w:val="left"/>
            </w:pPr>
            <w:r>
              <w:t xml:space="preserve">Contact Person</w:t>
            </w:r>
          </w:p>
        </w:tc>
        <w:tc>
          <w:tcPr/>
          <w:p>
            <w:pPr>
              <w:pStyle w:val="Compact"/>
              <w:jc w:val="left"/>
            </w:pPr>
            <w:r>
              <w:t xml:space="preserve">Ms. Yuki Harada, Sales Manager</w:t>
            </w:r>
          </w:p>
        </w:tc>
      </w:tr>
      <w:tr>
        <w:tc>
          <w:tcPr/>
          <w:p>
            <w:pPr>
              <w:pStyle w:val="Compact"/>
              <w:jc w:val="left"/>
            </w:pPr>
            <w:r>
              <w:t xml:space="preserve">Email</w:t>
            </w:r>
          </w:p>
        </w:tc>
        <w:tc>
          <w:tcPr/>
          <w:p>
            <w:pPr>
              <w:pStyle w:val="Compact"/>
              <w:jc w:val="left"/>
            </w:pPr>
            <w:r>
              <w:t xml:space="preserve">y.harada@globalmed-sci.jp</w:t>
            </w:r>
          </w:p>
        </w:tc>
      </w:tr>
      <w:tr>
        <w:tc>
          <w:tcPr/>
          <w:p>
            <w:pPr>
              <w:pStyle w:val="Compact"/>
              <w:jc w:val="left"/>
            </w:pPr>
            <w:r>
              <w:t xml:space="preserve">Phone</w:t>
            </w:r>
          </w:p>
        </w:tc>
        <w:tc>
          <w:tcPr/>
          <w:p>
            <w:pPr>
              <w:pStyle w:val="Compact"/>
              <w:jc w:val="left"/>
            </w:pPr>
            <w:r>
              <w:t xml:space="preserve">+81-6-6371-5500</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Osaka Metropolitan Medical Research Institute to procure specialized laboratory equipment, reagents, and analytical instruments required for the ongoing research program led by</w:t>
      </w:r>
      <w:r>
        <w:t xml:space="preserve"> </w:t>
      </w:r>
      <w:r>
        <w:rPr>
          <w:bCs/>
          <w:b/>
        </w:rPr>
        <w:t xml:space="preserve">Dr. Aiko Nakamura, Senior Medical Researcher</w:t>
      </w:r>
      <w:r>
        <w:t xml:space="preserve">, in the Department of Molecular Oncology. The Medical Researcher, Dr. Nakamura, has been conducting a three-year longitudinal study on immunotherapy response markers in solid tumors, and this Purchase Order covers the second-phase equipment upgrade necessary to maintain compliance with the Ministry of Health, Labour and Welfare (MHLW) standards applicable in Japan Osaka. All items listed below are to be delivered to the institute's primary laboratory facility located in Kita-ku, Japan Osaka, and must meet the technical specifications outlined in the attached annex (Annex A, Reference: OMRI-TECH-2025-019).</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High-Resolution Flow Cytometer (BD FACSymphony A3) – for immunophenotyping assays conducted by the Medical Researcher team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Real-Time PCR System (QuantStudio 7 Pro) – 384-well configuration for gene expression profiling</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003</w:t>
            </w:r>
          </w:p>
        </w:tc>
        <w:tc>
          <w:tcPr/>
          <w:p>
            <w:pPr>
              <w:pStyle w:val="Compact"/>
              <w:jc w:val="left"/>
            </w:pPr>
            <w:r>
              <w:t xml:space="preserve">Single-Cell RNA Sequencing Kit (10x Genomics Chromium Next GEM) – 500-sample pack</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004</w:t>
            </w:r>
          </w:p>
        </w:tc>
        <w:tc>
          <w:tcPr/>
          <w:p>
            <w:pPr>
              <w:pStyle w:val="Compact"/>
              <w:jc w:val="left"/>
            </w:pPr>
            <w:r>
              <w:t xml:space="preserve">Ultra-Low Temperature Freezer (-80°C, 500L) – for long-term biobank storage in Japan Osaka facility</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005</w:t>
            </w:r>
          </w:p>
        </w:tc>
        <w:tc>
          <w:tcPr/>
          <w:p>
            <w:pPr>
              <w:pStyle w:val="Compact"/>
              <w:jc w:val="left"/>
            </w:pPr>
            <w:r>
              <w:t xml:space="preserve">Confocal Laser Scanning Microscope (Zeiss LSM 980) – for tissue morphology analysis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006</w:t>
            </w:r>
          </w:p>
        </w:tc>
        <w:tc>
          <w:tcPr/>
          <w:p>
            <w:pPr>
              <w:pStyle w:val="Compact"/>
              <w:jc w:val="left"/>
            </w:pPr>
            <w:r>
              <w:t xml:space="preserve">Protein Quantification Reagent Set (BCA Assay, 2000-test) – annual supply</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007</w:t>
            </w:r>
          </w:p>
        </w:tc>
        <w:tc>
          <w:tcPr/>
          <w:p>
            <w:pPr>
              <w:pStyle w:val="Compact"/>
              <w:jc w:val="left"/>
            </w:pPr>
            <w:r>
              <w:t xml:space="preserve">Cell Culture Incubator (CO₂, 37°C, 180L) – for in-vitro tumor model maintenance</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008</w:t>
            </w:r>
          </w:p>
        </w:tc>
        <w:tc>
          <w:tcPr/>
          <w:p>
            <w:pPr>
              <w:pStyle w:val="Compact"/>
              <w:jc w:val="left"/>
            </w:pPr>
            <w:r>
              <w:t xml:space="preserve">Bioinformatics Workstation (64-core, 512GB RAM, 8TB NVMe) – for data analysis by the Medical Researcher group</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4,800,000</w:t>
            </w:r>
          </w:p>
        </w:tc>
      </w:tr>
      <w:tr>
        <w:tc>
          <w:tcPr/>
          <w:p>
            <w:pPr>
              <w:pStyle w:val="Compact"/>
              <w:jc w:val="left"/>
            </w:pPr>
            <w:r>
              <w:t xml:space="preserve">009</w:t>
            </w:r>
          </w:p>
        </w:tc>
        <w:tc>
          <w:tcPr/>
          <w:p>
            <w:pPr>
              <w:pStyle w:val="Compact"/>
              <w:jc w:val="left"/>
            </w:pPr>
            <w:r>
              <w:t xml:space="preserve">Installation, Calibration, and Operator Training Services (all equipment items 001–008)</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010</w:t>
            </w:r>
          </w:p>
        </w:tc>
        <w:tc>
          <w:tcPr/>
          <w:p>
            <w:pPr>
              <w:pStyle w:val="Compact"/>
              <w:jc w:val="left"/>
            </w:pPr>
            <w:r>
              <w:t xml:space="preserve">Two-Year Preventive Maintenance and Technical Support Contract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4"/>
          </w:tcPr>
          <w:p>
            <w:pPr>
              <w:pStyle w:val="Compact"/>
              <w:jc w:val="left"/>
            </w:pPr>
            <w:r>
              <w:rPr>
                <w:bCs/>
                <w:b/>
              </w:rPr>
              <w:t xml:space="preserve">Subtotal</w:t>
            </w:r>
          </w:p>
        </w:tc>
        <w:tc>
          <w:tcPr/>
          <w:p>
            <w:pPr>
              <w:pStyle w:val="Compact"/>
              <w:jc w:val="left"/>
            </w:pPr>
            <w:r>
              <w:rPr>
                <w:bCs/>
                <w:b/>
              </w:rPr>
              <w:t xml:space="preserve">75,100,000</w:t>
            </w:r>
          </w:p>
        </w:tc>
      </w:tr>
      <w:tr>
        <w:tc>
          <w:tcPr>
            <w:gridSpan w:val="4"/>
          </w:tcPr>
          <w:p>
            <w:pPr>
              <w:pStyle w:val="Compact"/>
              <w:jc w:val="left"/>
            </w:pPr>
            <w:r>
              <w:rPr>
                <w:bCs/>
                <w:b/>
              </w:rPr>
              <w:t xml:space="preserve">Consumption Tax (10%)</w:t>
            </w:r>
          </w:p>
        </w:tc>
        <w:tc>
          <w:tcPr/>
          <w:p>
            <w:pPr>
              <w:pStyle w:val="Compact"/>
              <w:jc w:val="left"/>
            </w:pPr>
            <w:r>
              <w:rPr>
                <w:bCs/>
                <w:b/>
              </w:rPr>
              <w:t xml:space="preserve">7,510,000</w:t>
            </w:r>
          </w:p>
        </w:tc>
      </w:tr>
      <w:tr>
        <w:tc>
          <w:tcPr>
            <w:gridSpan w:val="4"/>
          </w:tcPr>
          <w:p>
            <w:pPr>
              <w:pStyle w:val="Compact"/>
              <w:jc w:val="left"/>
            </w:pPr>
            <w:r>
              <w:rPr>
                <w:bCs/>
                <w:b/>
              </w:rPr>
              <w:t xml:space="preserve">GRAND TOTAL (JPY)</w:t>
            </w:r>
          </w:p>
        </w:tc>
        <w:tc>
          <w:tcPr/>
          <w:p>
            <w:pPr>
              <w:pStyle w:val="Compact"/>
              <w:jc w:val="left"/>
            </w:pPr>
            <w:r>
              <w:rPr>
                <w:bCs/>
                <w:b/>
              </w:rPr>
              <w:t xml:space="preserve">82,610,000</w:t>
            </w:r>
          </w:p>
        </w:tc>
      </w:tr>
    </w:tbl>
    <w:bookmarkEnd w:id="22"/>
    <w:bookmarkStart w:id="23" w:name="delivery-and-installation-requirements"/>
    <w:p>
      <w:pPr>
        <w:pStyle w:val="Heading2"/>
      </w:pPr>
      <w:r>
        <w:t xml:space="preserve">4. Delivery and Installation Requirements</w:t>
      </w:r>
    </w:p>
    <w:p>
      <w:pPr>
        <w:pStyle w:val="FirstParagraph"/>
      </w:pPr>
      <w:r>
        <w:t xml:space="preserve">All equipment specified in this Purchase Order shall be delivered to the Osaka Metropolitan Medical Research Institute laboratory, 3-1-51 Nakanoshima, Kita-ku, Japan Osaka, no later than 05 August 2025. The supplier is responsible for freight, insurance, and customs clearance (if applicable for imported components). Installation must be completed within ten (10) business days of delivery. The Medical Researcher, Dr. Nakamura, or her designated laboratory manager must sign the installation acceptance certificate before the equipment is deemed operational. All calibration certificates must be issued in accordance with the Japan Industrial Standards (JIS) and submitted to the institute's quality assurance office in Japan Osaka within five (5) business days of installation completion.</w:t>
      </w:r>
    </w:p>
    <w:bookmarkEnd w:id="23"/>
    <w:bookmarkStart w:id="24" w:name="terms-and-conditions"/>
    <w:p>
      <w:pPr>
        <w:pStyle w:val="Heading2"/>
      </w:pPr>
      <w:r>
        <w:t xml:space="preserve">5. Terms and Conditions</w:t>
      </w:r>
    </w:p>
    <w:p>
      <w:pPr>
        <w:pStyle w:val="FirstParagraph"/>
      </w:pPr>
      <w:r>
        <w:t xml:space="preserve">5.1 This Purchase Order is governed by the laws of Japan and the commercial regulations applicable in the Osaka Prefecture jurisdiction. 5.2 Payment shall be made via bank transfer to the supplier's designated account within forty-five (45) days of receipt of a valid tax invoice. 5.3 The supplier warrants that all equipment is new, unused, and free from defects for a minimum period of twenty-four (24) months from the date of installation acceptance. 5.4 Any delay in delivery beyond the stipulated deadline shall incur a penalty of 0.5% of the total Purchase Order value per calendar day, capped at 10% of the total value. 5.5 The Medical Researcher's laboratory shall have unrestricted access to all technical documentation, firmware updates, and remote diagnostic support for the duration of the maintenance contract. 5.6 All data generated on the bioinformatics workstations (Item 008) shall remain the exclusive intellectual property of the Osaka Metropolitan Medical Research Institute and the Medical Researcher's research group. 5.7 This Purchase Order may not be assigned or subcontracted without prior written consent from the buyer.</w:t>
      </w:r>
    </w:p>
    <w:p>
      <w:pPr>
        <w:pStyle w:val="BodyText"/>
      </w:pPr>
      <w:r>
        <w:rPr>
          <w:bCs/>
          <w:b/>
        </w:rPr>
        <w:t xml:space="preserve">IMPORTANT NOTE:</w:t>
      </w:r>
      <w:r>
        <w:t xml:space="preserve"> </w:t>
      </w:r>
      <w:r>
        <w:t xml:space="preserve">This Purchase Order has been reviewed and approved by the Medical Researcher, Dr. Aiko Nakamura, and the Procurement Committee of the Osaka Metropolitan Medical Research Institute. All procurement activities are conducted in full compliance with the Japan Osaka municipal research funding regulations (Ordinance No. 2024-117) and the national MHLW guidelines for medical research equipment acquisition. The total expenditure is funded under Grant Reference: MHLW-ONC-2025-00342.</w:t>
      </w:r>
    </w:p>
    <w:bookmarkEnd w:id="24"/>
    <w:bookmarkStart w:id="25" w:name="authorization-and-signatures"/>
    <w:p>
      <w:pPr>
        <w:pStyle w:val="Heading2"/>
      </w:pPr>
      <w:r>
        <w:t xml:space="preserve">6. Authorization and Signatures</w:t>
      </w:r>
    </w:p>
    <w:p>
      <w:pPr>
        <w:pStyle w:val="FirstParagraph"/>
      </w:pPr>
      <w:r>
        <w:rPr>
          <w:bCs/>
          <w:b/>
        </w:rPr>
        <w:t xml:space="preserve">Prepared by (Buyer):</w:t>
      </w:r>
    </w:p>
    <w:p>
      <w:pPr>
        <w:pStyle w:val="BodyText"/>
      </w:pPr>
      <w:r>
        <w:t xml:space="preserve">Dr. Kenji Tanaka</w:t>
      </w:r>
      <w:r>
        <w:br/>
      </w:r>
      <w:r>
        <w:t xml:space="preserve">Procurement Director</w:t>
      </w:r>
      <w:r>
        <w:br/>
      </w:r>
      <w:r>
        <w:t xml:space="preserve">Osaka Metropolitan Medical Research Institute</w:t>
      </w:r>
      <w:r>
        <w:br/>
      </w:r>
      <w:r>
        <w:t xml:space="preserve">Date: _______________</w:t>
      </w:r>
    </w:p>
    <w:p>
      <w:pPr>
        <w:pStyle w:val="BodyText"/>
      </w:pPr>
      <w:r>
        <w:rPr>
          <w:bCs/>
          <w:b/>
        </w:rPr>
        <w:t xml:space="preserve">Approved by (Medical Researcher):</w:t>
      </w:r>
    </w:p>
    <w:p>
      <w:pPr>
        <w:pStyle w:val="BodyText"/>
      </w:pPr>
      <w:r>
        <w:t xml:space="preserve">Dr. Aiko Nakamura</w:t>
      </w:r>
      <w:r>
        <w:br/>
      </w:r>
      <w:r>
        <w:t xml:space="preserve">Senior Medical Researcher</w:t>
      </w:r>
      <w:r>
        <w:br/>
      </w:r>
      <w:r>
        <w:t xml:space="preserve">Dept. of Molecular Oncology</w:t>
      </w:r>
      <w:r>
        <w:br/>
      </w:r>
      <w:r>
        <w:t xml:space="preserve">Date: _______________</w:t>
      </w:r>
    </w:p>
    <w:p>
      <w:pPr>
        <w:pStyle w:val="BodyText"/>
      </w:pPr>
      <w:r>
        <w:rPr>
          <w:bCs/>
          <w:b/>
        </w:rPr>
        <w:t xml:space="preserve">Accepted by (Supplier):</w:t>
      </w:r>
    </w:p>
    <w:p>
      <w:pPr>
        <w:pStyle w:val="BodyText"/>
      </w:pPr>
      <w:r>
        <w:t xml:space="preserve">Ms. Yuki Harada</w:t>
      </w:r>
      <w:r>
        <w:br/>
      </w:r>
      <w:r>
        <w:t xml:space="preserve">Sales Manager</w:t>
      </w:r>
      <w:r>
        <w:br/>
      </w:r>
      <w:r>
        <w:t xml:space="preserve">GlobalMed Scientific Instruments Co., Ltd.</w:t>
      </w:r>
      <w:r>
        <w:br/>
      </w:r>
      <w:r>
        <w:t xml:space="preserve">Date: _______________</w:t>
      </w:r>
    </w:p>
    <w:p>
      <w:pPr>
        <w:pStyle w:val="BodyText"/>
      </w:pPr>
      <w:r>
        <w:rPr>
          <w:bCs/>
          <w:b/>
        </w:rPr>
        <w:t xml:space="preserve">Verified by (Finance):</w:t>
      </w:r>
    </w:p>
    <w:p>
      <w:pPr>
        <w:pStyle w:val="BodyText"/>
      </w:pPr>
      <w:r>
        <w:t xml:space="preserve">Mr. Hiroshi Sato</w:t>
      </w:r>
      <w:r>
        <w:br/>
      </w:r>
      <w:r>
        <w:t xml:space="preserve">Chief Financial Officer</w:t>
      </w:r>
      <w:r>
        <w:br/>
      </w:r>
      <w:r>
        <w:t xml:space="preserve">Osaka Metropolitan Medical Research Institute</w:t>
      </w:r>
      <w:r>
        <w:br/>
      </w:r>
      <w:r>
        <w:t xml:space="preserve">Date: _______________</w:t>
      </w:r>
    </w:p>
    <w:p>
      <w:pPr>
        <w:pStyle w:val="BodyText"/>
      </w:pPr>
      <w:r>
        <w:t xml:space="preserve">Purchase Order No. PO-JOS-2025-04872 | Osaka Metropolitan Medical Research Institute | Japan Osaka | Page 1 of 1</w:t>
      </w:r>
    </w:p>
    <w:p>
      <w:pPr>
        <w:pStyle w:val="BodyText"/>
      </w:pPr>
      <w:r>
        <w:t xml:space="preserve">This document is the property of the Osaka Metropolitan Medical Research Institute. Unauthorized reproduction is prohibited under Japanese copyright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Japan Osaka</dc:title>
  <dc:creator/>
  <dc:language>en</dc:language>
  <cp:keywords/>
  <dcterms:created xsi:type="dcterms:W3CDTF">2026-10-10T03:51:37Z</dcterms:created>
  <dcterms:modified xsi:type="dcterms:W3CDTF">2026-10-10T03:51:37Z</dcterms:modified>
</cp:coreProperties>
</file>

<file path=docProps/custom.xml><?xml version="1.0" encoding="utf-8"?>
<Properties xmlns="http://schemas.openxmlformats.org/officeDocument/2006/custom-properties" xmlns:vt="http://schemas.openxmlformats.org/officeDocument/2006/docPropsVTypes"/>
</file>