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Medical</w:t>
      </w:r>
      <w:r>
        <w:t xml:space="preserve"> </w:t>
      </w:r>
      <w:r>
        <w:t xml:space="preserve">Researcher</w:t>
      </w:r>
      <w:r>
        <w:t xml:space="preserve"> </w:t>
      </w:r>
      <w:r>
        <w:t xml:space="preserve">-</w:t>
      </w:r>
      <w:r>
        <w:t xml:space="preserve"> </w:t>
      </w:r>
      <w:r>
        <w:t xml:space="preserve">Kuwait</w:t>
      </w:r>
      <w:r>
        <w:t xml:space="preserve"> </w:t>
      </w:r>
      <w:r>
        <w:t xml:space="preserve">Kuwait</w:t>
      </w:r>
      <w:r>
        <w:t xml:space="preserve"> </w:t>
      </w:r>
      <w:r>
        <w:t xml:space="preserve">City</w:t>
      </w:r>
    </w:p>
    <w:bookmarkStart w:id="20" w:name="purchase-order"/>
    <w:p>
      <w:pPr>
        <w:pStyle w:val="Heading1"/>
      </w:pPr>
      <w:r>
        <w:t xml:space="preserve">PURCHASE ORDER</w:t>
      </w:r>
    </w:p>
    <w:p>
      <w:pPr>
        <w:pStyle w:val="FirstParagraph"/>
      </w:pPr>
      <w:r>
        <w:rPr>
          <w:bCs/>
          <w:b/>
        </w:rPr>
        <w:t xml:space="preserve">Al-Nahda Medical Research Institute</w:t>
      </w:r>
    </w:p>
    <w:p>
      <w:pPr>
        <w:pStyle w:val="BodyText"/>
      </w:pPr>
      <w:r>
        <w:t xml:space="preserve">Building 47, Block 2, Salmiya District, Kuwait Kuwait City</w:t>
      </w:r>
    </w:p>
    <w:p>
      <w:pPr>
        <w:pStyle w:val="BodyText"/>
      </w:pPr>
      <w:r>
        <w:t xml:space="preserve">Tel: +965-2244-7890 | Email: procurement@alnahda-research.kw</w:t>
      </w:r>
    </w:p>
    <w:p>
      <w:pPr>
        <w:pStyle w:val="BodyText"/>
      </w:pPr>
      <w:r>
        <w:t xml:space="preserve">Commercial Registration No: 118294-KW | Tax ID: KU-TR-2024-00587</w:t>
      </w:r>
    </w:p>
    <w:bookmarkEnd w:id="20"/>
    <w:p>
      <w:pPr>
        <w:pStyle w:val="BodyText"/>
      </w:pPr>
      <w:r>
        <w:rPr>
          <w:bCs/>
          <w:b/>
        </w:rPr>
        <w:t xml:space="preserve">Purchase Order No:</w:t>
      </w:r>
      <w:r>
        <w:t xml:space="preserve"> </w:t>
      </w:r>
      <w:r>
        <w:t xml:space="preserve">PO-KW-2025-00347</w:t>
      </w:r>
      <w:r>
        <w:br/>
      </w:r>
      <w:r>
        <w:rPr>
          <w:bCs/>
          <w:b/>
        </w:rPr>
        <w:t xml:space="preserve">Date of Issue:</w:t>
      </w:r>
      <w:r>
        <w:t xml:space="preserve"> </w:t>
      </w:r>
      <w:r>
        <w:t xml:space="preserve">14 June 2025</w:t>
      </w:r>
      <w:r>
        <w:br/>
      </w:r>
      <w:r>
        <w:rPr>
          <w:bCs/>
          <w:b/>
        </w:rPr>
        <w:t xml:space="preserve">Valid Until:</w:t>
      </w:r>
      <w:r>
        <w:t xml:space="preserve"> </w:t>
      </w:r>
      <w:r>
        <w:t xml:space="preserve">14 July 2025</w:t>
      </w:r>
    </w:p>
    <w:p>
      <w:pPr>
        <w:pStyle w:val="BodyText"/>
      </w:pPr>
      <w:r>
        <w:rPr>
          <w:bCs/>
          <w:b/>
        </w:rPr>
        <w:t xml:space="preserve">Buyer:</w:t>
      </w:r>
      <w:r>
        <w:t xml:space="preserve"> </w:t>
      </w:r>
      <w:r>
        <w:t xml:space="preserve">Al-Nahda Medical Research Institute</w:t>
      </w:r>
      <w:r>
        <w:br/>
      </w:r>
      <w:r>
        <w:rPr>
          <w:bCs/>
          <w:b/>
        </w:rPr>
        <w:t xml:space="preserve">Attn:</w:t>
      </w:r>
      <w:r>
        <w:t xml:space="preserve"> </w:t>
      </w:r>
      <w:r>
        <w:t xml:space="preserve">Dr. Layla Al-Sabah, Head of Procurement</w:t>
      </w:r>
      <w:r>
        <w:br/>
      </w:r>
      <w:r>
        <w:rPr>
          <w:bCs/>
          <w:b/>
        </w:rPr>
        <w:t xml:space="preserve">Location:</w:t>
      </w:r>
      <w:r>
        <w:t xml:space="preserve"> </w:t>
      </w:r>
      <w:r>
        <w:t xml:space="preserve">Kuwait Kuwait City</w:t>
      </w:r>
    </w:p>
    <w:p>
      <w:pPr>
        <w:pStyle w:val="BodyText"/>
      </w:pPr>
      <w:r>
        <w:rPr>
          <w:bCs/>
          <w:b/>
        </w:rPr>
        <w:t xml:space="preserve">Supplier:</w:t>
      </w:r>
      <w:r>
        <w:t xml:space="preserve"> </w:t>
      </w:r>
      <w:r>
        <w:t xml:space="preserve">GlobalMed Scientific Supplies LLC</w:t>
      </w:r>
      <w:r>
        <w:br/>
      </w:r>
      <w:r>
        <w:rPr>
          <w:bCs/>
          <w:b/>
        </w:rPr>
        <w:t xml:space="preserve">Attn:</w:t>
      </w:r>
      <w:r>
        <w:t xml:space="preserve"> </w:t>
      </w:r>
      <w:r>
        <w:t xml:space="preserve">Mr. James Whitfield, Sales Director</w:t>
      </w:r>
      <w:r>
        <w:br/>
      </w:r>
      <w:r>
        <w:rPr>
          <w:bCs/>
          <w:b/>
        </w:rPr>
        <w:t xml:space="preserve">Location:</w:t>
      </w:r>
      <w:r>
        <w:t xml:space="preserve"> </w:t>
      </w:r>
      <w:r>
        <w:t xml:space="preserve">1200 Research Park Ave, Boston, MA 02134, USA</w:t>
      </w:r>
    </w:p>
    <w:bookmarkStart w:id="21" w:name="purpose-and-scope-of-this-purchase-order"/>
    <w:p>
      <w:pPr>
        <w:pStyle w:val="Heading2"/>
      </w:pPr>
      <w:r>
        <w:t xml:space="preserve">1. Purpose and Scope of This Purchase Order</w:t>
      </w:r>
    </w:p>
    <w:p>
      <w:pPr>
        <w:pStyle w:val="FirstParagraph"/>
      </w:pPr>
      <w:r>
        <w:t xml:space="preserve">This Purchase Order is issued by Al-Nahda Medical Research Institute, a leading biomedical research facility located in Kuwait Kuwait City, for the procurement of specialized laboratory equipment, reagents, and consumables required to support the ongoing work of our senior</w:t>
      </w:r>
      <w:r>
        <w:t xml:space="preserve"> </w:t>
      </w:r>
      <w:r>
        <w:rPr>
          <w:bCs/>
          <w:b/>
        </w:rPr>
        <w:t xml:space="preserve">Medical Researcher</w:t>
      </w:r>
      <w:r>
        <w:t xml:space="preserve">, Dr. Faisal Al-Mutairi, and his team. The items listed in this Purchase Order are essential for the continuation of Phase III clinical trials focused on cardiovascular disease biomarkers, a project funded by the Kuwait Ministry of Health and the Kuwait Institute for Medical Specialization. All goods must comply with the regulatory standards set forth by the Kuwait Public Authority for Applied Science and Environmental Quality (PASEQ) and the Kuwait Food and Drug Authority (KFDA).</w:t>
      </w:r>
    </w:p>
    <w:bookmarkEnd w:id="21"/>
    <w:bookmarkStart w:id="22" w:name="line-items"/>
    <w:p>
      <w:pPr>
        <w:pStyle w:val="Heading2"/>
      </w:pPr>
      <w:r>
        <w:t xml:space="preserve">2.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Specification</w:t>
            </w:r>
          </w:p>
        </w:tc>
        <w:tc>
          <w:tcPr/>
          <w:p>
            <w:pPr>
              <w:pStyle w:val="Compact"/>
              <w:jc w:val="left"/>
            </w:pPr>
            <w:r>
              <w:t xml:space="preserve">Qty</w:t>
            </w:r>
          </w:p>
        </w:tc>
        <w:tc>
          <w:tcPr/>
          <w:p>
            <w:pPr>
              <w:pStyle w:val="Compact"/>
              <w:jc w:val="left"/>
            </w:pPr>
            <w:r>
              <w:t xml:space="preserve">Unit Price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High-Performance Liquid Chromatography (HPLC) System</w:t>
            </w:r>
          </w:p>
        </w:tc>
        <w:tc>
          <w:tcPr/>
          <w:p>
            <w:pPr>
              <w:pStyle w:val="Compact"/>
              <w:jc w:val="left"/>
            </w:pPr>
            <w:r>
              <w:t xml:space="preserve">Agilent 1260 Infinity II, UV-Vis Detector, C18 Column</w:t>
            </w:r>
          </w:p>
        </w:tc>
        <w:tc>
          <w:tcPr/>
          <w:p>
            <w:pPr>
              <w:pStyle w:val="Compact"/>
              <w:jc w:val="left"/>
            </w:pPr>
            <w:r>
              <w:t xml:space="preserve">1</w:t>
            </w:r>
          </w:p>
        </w:tc>
        <w:tc>
          <w:tcPr/>
          <w:p>
            <w:pPr>
              <w:pStyle w:val="Compact"/>
              <w:jc w:val="left"/>
            </w:pPr>
            <w:r>
              <w:t xml:space="preserve">48,500.00</w:t>
            </w:r>
          </w:p>
        </w:tc>
        <w:tc>
          <w:tcPr/>
          <w:p>
            <w:pPr>
              <w:pStyle w:val="Compact"/>
              <w:jc w:val="left"/>
            </w:pPr>
            <w:r>
              <w:t xml:space="preserve">48,500.00</w:t>
            </w:r>
          </w:p>
        </w:tc>
      </w:tr>
      <w:tr>
        <w:tc>
          <w:tcPr/>
          <w:p>
            <w:pPr>
              <w:pStyle w:val="Compact"/>
              <w:jc w:val="left"/>
            </w:pPr>
            <w:r>
              <w:t xml:space="preserve">02</w:t>
            </w:r>
          </w:p>
        </w:tc>
        <w:tc>
          <w:tcPr/>
          <w:p>
            <w:pPr>
              <w:pStyle w:val="Compact"/>
              <w:jc w:val="left"/>
            </w:pPr>
            <w:r>
              <w:t xml:space="preserve">Real-Time PCR Thermal Cycler</w:t>
            </w:r>
          </w:p>
        </w:tc>
        <w:tc>
          <w:tcPr/>
          <w:p>
            <w:pPr>
              <w:pStyle w:val="Compact"/>
              <w:jc w:val="left"/>
            </w:pPr>
            <w:r>
              <w:t xml:space="preserve">ABI 7500 Fast Dx, 96-well, for Medical Researcher use</w:t>
            </w:r>
          </w:p>
        </w:tc>
        <w:tc>
          <w:tcPr/>
          <w:p>
            <w:pPr>
              <w:pStyle w:val="Compact"/>
              <w:jc w:val="left"/>
            </w:pPr>
            <w:r>
              <w:t xml:space="preserve">2</w:t>
            </w:r>
          </w:p>
        </w:tc>
        <w:tc>
          <w:tcPr/>
          <w:p>
            <w:pPr>
              <w:pStyle w:val="Compact"/>
              <w:jc w:val="left"/>
            </w:pPr>
            <w:r>
              <w:t xml:space="preserve">32,000.00</w:t>
            </w:r>
          </w:p>
        </w:tc>
        <w:tc>
          <w:tcPr/>
          <w:p>
            <w:pPr>
              <w:pStyle w:val="Compact"/>
              <w:jc w:val="left"/>
            </w:pPr>
            <w:r>
              <w:t xml:space="preserve">64,000.00</w:t>
            </w:r>
          </w:p>
        </w:tc>
      </w:tr>
      <w:tr>
        <w:tc>
          <w:tcPr/>
          <w:p>
            <w:pPr>
              <w:pStyle w:val="Compact"/>
              <w:jc w:val="left"/>
            </w:pPr>
            <w:r>
              <w:t xml:space="preserve">03</w:t>
            </w:r>
          </w:p>
        </w:tc>
        <w:tc>
          <w:tcPr/>
          <w:p>
            <w:pPr>
              <w:pStyle w:val="Compact"/>
              <w:jc w:val="left"/>
            </w:pPr>
            <w:r>
              <w:t xml:space="preserve">Centrifuge, Ultracentrifuge</w:t>
            </w:r>
          </w:p>
        </w:tc>
        <w:tc>
          <w:tcPr/>
          <w:p>
            <w:pPr>
              <w:pStyle w:val="Compact"/>
              <w:jc w:val="left"/>
            </w:pPr>
            <w:r>
              <w:t xml:space="preserve">Beckman Optima XPN-100, 100,000 RPM</w:t>
            </w:r>
          </w:p>
        </w:tc>
        <w:tc>
          <w:tcPr/>
          <w:p>
            <w:pPr>
              <w:pStyle w:val="Compact"/>
              <w:jc w:val="left"/>
            </w:pPr>
            <w:r>
              <w:t xml:space="preserve">1</w:t>
            </w:r>
          </w:p>
        </w:tc>
        <w:tc>
          <w:tcPr/>
          <w:p>
            <w:pPr>
              <w:pStyle w:val="Compact"/>
              <w:jc w:val="left"/>
            </w:pPr>
            <w:r>
              <w:t xml:space="preserve">27,800.00</w:t>
            </w:r>
          </w:p>
        </w:tc>
        <w:tc>
          <w:tcPr/>
          <w:p>
            <w:pPr>
              <w:pStyle w:val="Compact"/>
              <w:jc w:val="left"/>
            </w:pPr>
            <w:r>
              <w:t xml:space="preserve">27,800.00</w:t>
            </w:r>
          </w:p>
        </w:tc>
      </w:tr>
      <w:tr>
        <w:tc>
          <w:tcPr/>
          <w:p>
            <w:pPr>
              <w:pStyle w:val="Compact"/>
              <w:jc w:val="left"/>
            </w:pPr>
            <w:r>
              <w:t xml:space="preserve">04</w:t>
            </w:r>
          </w:p>
        </w:tc>
        <w:tc>
          <w:tcPr/>
          <w:p>
            <w:pPr>
              <w:pStyle w:val="Compact"/>
              <w:jc w:val="left"/>
            </w:pPr>
            <w:r>
              <w:t xml:space="preserve">Cell Culture Incubator, CO₂</w:t>
            </w:r>
          </w:p>
        </w:tc>
        <w:tc>
          <w:tcPr/>
          <w:p>
            <w:pPr>
              <w:pStyle w:val="Compact"/>
              <w:jc w:val="left"/>
            </w:pPr>
            <w:r>
              <w:t xml:space="preserve">Thermo Scientific Heracell VIOS, 180L</w:t>
            </w:r>
          </w:p>
        </w:tc>
        <w:tc>
          <w:tcPr/>
          <w:p>
            <w:pPr>
              <w:pStyle w:val="Compact"/>
              <w:jc w:val="left"/>
            </w:pPr>
            <w:r>
              <w:t xml:space="preserve">2</w:t>
            </w:r>
          </w:p>
        </w:tc>
        <w:tc>
          <w:tcPr/>
          <w:p>
            <w:pPr>
              <w:pStyle w:val="Compact"/>
              <w:jc w:val="left"/>
            </w:pPr>
            <w:r>
              <w:t xml:space="preserve">14,200.00</w:t>
            </w:r>
          </w:p>
        </w:tc>
        <w:tc>
          <w:tcPr/>
          <w:p>
            <w:pPr>
              <w:pStyle w:val="Compact"/>
              <w:jc w:val="left"/>
            </w:pPr>
            <w:r>
              <w:t xml:space="preserve">28,400.00</w:t>
            </w:r>
          </w:p>
        </w:tc>
      </w:tr>
      <w:tr>
        <w:tc>
          <w:tcPr/>
          <w:p>
            <w:pPr>
              <w:pStyle w:val="Compact"/>
              <w:jc w:val="left"/>
            </w:pPr>
            <w:r>
              <w:t xml:space="preserve">05</w:t>
            </w:r>
          </w:p>
        </w:tc>
        <w:tc>
          <w:tcPr/>
          <w:p>
            <w:pPr>
              <w:pStyle w:val="Compact"/>
              <w:jc w:val="left"/>
            </w:pPr>
            <w:r>
              <w:t xml:space="preserve">Cardiovascular Biomarker Assay Kits</w:t>
            </w:r>
          </w:p>
        </w:tc>
        <w:tc>
          <w:tcPr/>
          <w:p>
            <w:pPr>
              <w:pStyle w:val="Compact"/>
              <w:jc w:val="left"/>
            </w:pPr>
            <w:r>
              <w:t xml:space="preserve">hs-CRP, BNP, Troponin I – 500 tests each</w:t>
            </w:r>
          </w:p>
        </w:tc>
        <w:tc>
          <w:tcPr/>
          <w:p>
            <w:pPr>
              <w:pStyle w:val="Compact"/>
              <w:jc w:val="left"/>
            </w:pPr>
            <w:r>
              <w:t xml:space="preserve">10</w:t>
            </w:r>
          </w:p>
        </w:tc>
        <w:tc>
          <w:tcPr/>
          <w:p>
            <w:pPr>
              <w:pStyle w:val="Compact"/>
              <w:jc w:val="left"/>
            </w:pPr>
            <w:r>
              <w:t xml:space="preserve">1,850.00</w:t>
            </w:r>
          </w:p>
        </w:tc>
        <w:tc>
          <w:tcPr/>
          <w:p>
            <w:pPr>
              <w:pStyle w:val="Compact"/>
              <w:jc w:val="left"/>
            </w:pPr>
            <w:r>
              <w:t xml:space="preserve">18,500.00</w:t>
            </w:r>
          </w:p>
        </w:tc>
      </w:tr>
      <w:tr>
        <w:tc>
          <w:tcPr/>
          <w:p>
            <w:pPr>
              <w:pStyle w:val="Compact"/>
              <w:jc w:val="left"/>
            </w:pPr>
            <w:r>
              <w:t xml:space="preserve">06</w:t>
            </w:r>
          </w:p>
        </w:tc>
        <w:tc>
          <w:tcPr/>
          <w:p>
            <w:pPr>
              <w:pStyle w:val="Compact"/>
              <w:jc w:val="left"/>
            </w:pPr>
            <w:r>
              <w:t xml:space="preserve">Autoclave, Laboratory Grade</w:t>
            </w:r>
          </w:p>
        </w:tc>
        <w:tc>
          <w:tcPr/>
          <w:p>
            <w:pPr>
              <w:pStyle w:val="Compact"/>
              <w:jc w:val="left"/>
            </w:pPr>
            <w:r>
              <w:t xml:space="preserve">Tuttnauer 2540E, 25L, for Kuwait Kuwait City facility</w:t>
            </w:r>
          </w:p>
        </w:tc>
        <w:tc>
          <w:tcPr/>
          <w:p>
            <w:pPr>
              <w:pStyle w:val="Compact"/>
              <w:jc w:val="left"/>
            </w:pPr>
            <w:r>
              <w:t xml:space="preserve">1</w:t>
            </w:r>
          </w:p>
        </w:tc>
        <w:tc>
          <w:tcPr/>
          <w:p>
            <w:pPr>
              <w:pStyle w:val="Compact"/>
              <w:jc w:val="left"/>
            </w:pPr>
            <w:r>
              <w:t xml:space="preserve">9,600.00</w:t>
            </w:r>
          </w:p>
        </w:tc>
        <w:tc>
          <w:tcPr/>
          <w:p>
            <w:pPr>
              <w:pStyle w:val="Compact"/>
              <w:jc w:val="left"/>
            </w:pPr>
            <w:r>
              <w:t xml:space="preserve">9,600.00</w:t>
            </w:r>
          </w:p>
        </w:tc>
      </w:tr>
      <w:tr>
        <w:tc>
          <w:tcPr/>
          <w:p>
            <w:pPr>
              <w:pStyle w:val="Compact"/>
              <w:jc w:val="left"/>
            </w:pPr>
            <w:r>
              <w:t xml:space="preserve">07</w:t>
            </w:r>
          </w:p>
        </w:tc>
        <w:tc>
          <w:tcPr/>
          <w:p>
            <w:pPr>
              <w:pStyle w:val="Compact"/>
              <w:jc w:val="left"/>
            </w:pPr>
            <w:r>
              <w:t xml:space="preserve">Personal Protective Equipment (PPE) Bundle</w:t>
            </w:r>
          </w:p>
        </w:tc>
        <w:tc>
          <w:tcPr/>
          <w:p>
            <w:pPr>
              <w:pStyle w:val="Compact"/>
              <w:jc w:val="left"/>
            </w:pPr>
            <w:r>
              <w:t xml:space="preserve">N95 masks, nitrile gloves, lab coats – 12-month supply for 15 Medical Researcher staff</w:t>
            </w:r>
          </w:p>
        </w:tc>
        <w:tc>
          <w:tcPr/>
          <w:p>
            <w:pPr>
              <w:pStyle w:val="Compact"/>
              <w:jc w:val="left"/>
            </w:pPr>
            <w:r>
              <w:t xml:space="preserve">15</w:t>
            </w:r>
          </w:p>
        </w:tc>
        <w:tc>
          <w:tcPr/>
          <w:p>
            <w:pPr>
              <w:pStyle w:val="Compact"/>
              <w:jc w:val="left"/>
            </w:pPr>
            <w:r>
              <w:t xml:space="preserve">420.00</w:t>
            </w:r>
          </w:p>
        </w:tc>
        <w:tc>
          <w:tcPr/>
          <w:p>
            <w:pPr>
              <w:pStyle w:val="Compact"/>
              <w:jc w:val="left"/>
            </w:pPr>
            <w:r>
              <w:t xml:space="preserve">6,300.00</w:t>
            </w:r>
          </w:p>
        </w:tc>
      </w:tr>
      <w:tr>
        <w:tc>
          <w:tcPr/>
          <w:p>
            <w:pPr>
              <w:pStyle w:val="Compact"/>
              <w:jc w:val="left"/>
            </w:pPr>
            <w:r>
              <w:t xml:space="preserve">08</w:t>
            </w:r>
          </w:p>
        </w:tc>
        <w:tc>
          <w:tcPr/>
          <w:p>
            <w:pPr>
              <w:pStyle w:val="Compact"/>
              <w:jc w:val="left"/>
            </w:pPr>
            <w:r>
              <w:t xml:space="preserve">Refrigerated Sample Storage, -80°C</w:t>
            </w:r>
          </w:p>
        </w:tc>
        <w:tc>
          <w:tcPr/>
          <w:p>
            <w:pPr>
              <w:pStyle w:val="Compact"/>
              <w:jc w:val="left"/>
            </w:pPr>
            <w:r>
              <w:t xml:space="preserve">Thermo Scientific Ultra Low Temperature, 400L</w:t>
            </w:r>
          </w:p>
        </w:tc>
        <w:tc>
          <w:tcPr/>
          <w:p>
            <w:pPr>
              <w:pStyle w:val="Compact"/>
              <w:jc w:val="left"/>
            </w:pPr>
            <w:r>
              <w:t xml:space="preserve">1</w:t>
            </w:r>
          </w:p>
        </w:tc>
        <w:tc>
          <w:tcPr/>
          <w:p>
            <w:pPr>
              <w:pStyle w:val="Compact"/>
              <w:jc w:val="left"/>
            </w:pPr>
            <w:r>
              <w:t xml:space="preserve">11,900.00</w:t>
            </w:r>
          </w:p>
        </w:tc>
        <w:tc>
          <w:tcPr/>
          <w:p>
            <w:pPr>
              <w:pStyle w:val="Compact"/>
              <w:jc w:val="left"/>
            </w:pPr>
            <w:r>
              <w:t xml:space="preserve">11,900.00</w:t>
            </w:r>
          </w:p>
        </w:tc>
      </w:tr>
      <w:tr>
        <w:tc>
          <w:tcPr/>
          <w:p>
            <w:pPr>
              <w:pStyle w:val="Compact"/>
              <w:jc w:val="left"/>
            </w:pPr>
            <w:r>
              <w:t xml:space="preserve">09</w:t>
            </w:r>
          </w:p>
        </w:tc>
        <w:tc>
          <w:tcPr/>
          <w:p>
            <w:pPr>
              <w:pStyle w:val="Compact"/>
              <w:jc w:val="left"/>
            </w:pPr>
            <w:r>
              <w:t xml:space="preserve">Software License – Bioinformatics Suite</w:t>
            </w:r>
          </w:p>
        </w:tc>
        <w:tc>
          <w:tcPr/>
          <w:p>
            <w:pPr>
              <w:pStyle w:val="Compact"/>
              <w:jc w:val="left"/>
            </w:pPr>
            <w:r>
              <w:t xml:space="preserve">QIIME 2 + Galaxy, 5-user, 3-year subscription</w:t>
            </w:r>
          </w:p>
        </w:tc>
        <w:tc>
          <w:tcPr/>
          <w:p>
            <w:pPr>
              <w:pStyle w:val="Compact"/>
              <w:jc w:val="left"/>
            </w:pPr>
            <w:r>
              <w:t xml:space="preserve">1</w:t>
            </w:r>
          </w:p>
        </w:tc>
        <w:tc>
          <w:tcPr/>
          <w:p>
            <w:pPr>
              <w:pStyle w:val="Compact"/>
              <w:jc w:val="left"/>
            </w:pPr>
            <w:r>
              <w:t xml:space="preserve">7,200.00</w:t>
            </w:r>
          </w:p>
        </w:tc>
        <w:tc>
          <w:tcPr/>
          <w:p>
            <w:pPr>
              <w:pStyle w:val="Compact"/>
              <w:jc w:val="left"/>
            </w:pPr>
            <w:r>
              <w:t xml:space="preserve">7,200.00</w:t>
            </w:r>
          </w:p>
        </w:tc>
      </w:tr>
      <w:tr>
        <w:tc>
          <w:tcPr/>
          <w:p>
            <w:pPr>
              <w:pStyle w:val="Compact"/>
              <w:jc w:val="left"/>
            </w:pPr>
            <w:r>
              <w:t xml:space="preserve">10</w:t>
            </w:r>
          </w:p>
        </w:tc>
        <w:tc>
          <w:tcPr/>
          <w:p>
            <w:pPr>
              <w:pStyle w:val="Compact"/>
              <w:jc w:val="left"/>
            </w:pPr>
            <w:r>
              <w:t xml:space="preserve">Shipping, Insurance, and Customs Clearance (Kuwait)</w:t>
            </w:r>
          </w:p>
        </w:tc>
        <w:tc>
          <w:tcPr/>
          <w:p>
            <w:pPr>
              <w:pStyle w:val="Compact"/>
              <w:jc w:val="left"/>
            </w:pPr>
            <w:r>
              <w:t xml:space="preserve">DDP – Delivered Duty Paid, Kuwait Kuwait City</w:t>
            </w:r>
          </w:p>
        </w:tc>
        <w:tc>
          <w:tcPr/>
          <w:p>
            <w:pPr>
              <w:pStyle w:val="Compact"/>
              <w:jc w:val="left"/>
            </w:pPr>
            <w:r>
              <w:t xml:space="preserve">1</w:t>
            </w:r>
          </w:p>
        </w:tc>
        <w:tc>
          <w:tcPr/>
          <w:p>
            <w:pPr>
              <w:pStyle w:val="Compact"/>
              <w:jc w:val="left"/>
            </w:pPr>
            <w:r>
              <w:t xml:space="preserve">5,400.00</w:t>
            </w:r>
          </w:p>
        </w:tc>
        <w:tc>
          <w:tcPr/>
          <w:p>
            <w:pPr>
              <w:pStyle w:val="Compact"/>
              <w:jc w:val="left"/>
            </w:pPr>
            <w:r>
              <w:t xml:space="preserve">5,400.00</w:t>
            </w:r>
          </w:p>
        </w:tc>
      </w:tr>
      <w:tr>
        <w:tc>
          <w:tcPr>
            <w:gridSpan w:val="5"/>
          </w:tcPr>
          <w:p>
            <w:pPr>
              <w:pStyle w:val="Compact"/>
              <w:jc w:val="right"/>
            </w:pPr>
            <w:r>
              <w:t xml:space="preserve">TOTAL AMOUNT (USD)</w:t>
            </w:r>
          </w:p>
        </w:tc>
        <w:tc>
          <w:tcPr/>
          <w:p>
            <w:pPr>
              <w:pStyle w:val="Compact"/>
              <w:jc w:val="left"/>
            </w:pPr>
            <w:r>
              <w:t xml:space="preserve">237,600.00</w:t>
            </w:r>
          </w:p>
        </w:tc>
      </w:tr>
    </w:tbl>
    <w:bookmarkEnd w:id="22"/>
    <w:bookmarkStart w:id="23" w:name="delivery-and-logistics"/>
    <w:p>
      <w:pPr>
        <w:pStyle w:val="Heading2"/>
      </w:pPr>
      <w:r>
        <w:t xml:space="preserve">3. Delivery and Logistics</w:t>
      </w:r>
    </w:p>
    <w:p>
      <w:pPr>
        <w:pStyle w:val="FirstParagraph"/>
      </w:pPr>
      <w:r>
        <w:t xml:space="preserve">All items referenced in this Purchase Order shall be delivered to the Al-Nahda Medical Research Institute laboratory facility at Building 47, Block 2, Salmiya District, Kuwait Kuwait City, within</w:t>
      </w:r>
      <w:r>
        <w:t xml:space="preserve"> </w:t>
      </w:r>
      <w:r>
        <w:rPr>
          <w:bCs/>
          <w:b/>
        </w:rPr>
        <w:t xml:space="preserve">45 calendar days</w:t>
      </w:r>
      <w:r>
        <w:t xml:space="preserve"> </w:t>
      </w:r>
      <w:r>
        <w:t xml:space="preserve">from the date of this Purchase Order. The supplier is responsible for all international freight, marine insurance, and customs clearance at the Port of Shuwaikh, Kuwait. The Medical Researcher team will be available to oversee the unloading, inspection, and installation of all equipment upon arrival. The supplier must provide a minimum of 10 business days' written notice prior to shipment to allow the receiving team in Kuwait Kuwait City to prepare the laboratory space and coordinate with the Kuwait Civil Aviation Authority for any restricted biological material permits.</w:t>
      </w:r>
    </w:p>
    <w:bookmarkEnd w:id="23"/>
    <w:bookmarkStart w:id="24" w:name="payment-terms"/>
    <w:p>
      <w:pPr>
        <w:pStyle w:val="Heading2"/>
      </w:pPr>
      <w:r>
        <w:t xml:space="preserve">4. Payment Terms</w:t>
      </w:r>
    </w:p>
    <w:p>
      <w:pPr>
        <w:numPr>
          <w:ilvl w:val="0"/>
          <w:numId w:val="1001"/>
        </w:numPr>
        <w:pStyle w:val="Compact"/>
      </w:pPr>
      <w:r>
        <w:rPr>
          <w:bCs/>
          <w:b/>
        </w:rPr>
        <w:t xml:space="preserve">Payment Method:</w:t>
      </w:r>
      <w:r>
        <w:t xml:space="preserve"> </w:t>
      </w:r>
      <w:r>
        <w:t xml:space="preserve">Irrevocable Letter of Credit (LC) issued by National Bank of Kuwait, Kuwait Kuwait City branch, in favor of GlobalMed Scientific Supplies LLC.</w:t>
      </w:r>
    </w:p>
    <w:p>
      <w:pPr>
        <w:numPr>
          <w:ilvl w:val="0"/>
          <w:numId w:val="1001"/>
        </w:numPr>
        <w:pStyle w:val="Compact"/>
      </w:pPr>
      <w:r>
        <w:rPr>
          <w:bCs/>
          <w:b/>
        </w:rPr>
        <w:t xml:space="preserve">Payment Schedule:</w:t>
      </w:r>
      <w:r>
        <w:t xml:space="preserve"> </w:t>
      </w:r>
      <w:r>
        <w:t xml:space="preserve">30% advance payment upon confirmation of this Purchase Order; 50% upon shipment and presentation of Bill of Lading; 20% upon successful installation, calibration, and acceptance by the Medical Researcher team in Kuwait Kuwait City.</w:t>
      </w:r>
    </w:p>
    <w:p>
      <w:pPr>
        <w:numPr>
          <w:ilvl w:val="0"/>
          <w:numId w:val="1001"/>
        </w:numPr>
        <w:pStyle w:val="Compact"/>
      </w:pPr>
      <w:r>
        <w:rPr>
          <w:bCs/>
          <w:b/>
        </w:rPr>
        <w:t xml:space="preserve">Currency:</w:t>
      </w:r>
      <w:r>
        <w:t xml:space="preserve"> </w:t>
      </w:r>
      <w:r>
        <w:t xml:space="preserve">All amounts are denominated in United States Dollars (USD). Conversion to Kuwaiti Dinar (KWD) shall be at the Central Bank of Kuwait's published rate on the date of each payment.</w:t>
      </w:r>
    </w:p>
    <w:p>
      <w:pPr>
        <w:numPr>
          <w:ilvl w:val="0"/>
          <w:numId w:val="1001"/>
        </w:numPr>
        <w:pStyle w:val="Compact"/>
      </w:pPr>
      <w:r>
        <w:rPr>
          <w:bCs/>
          <w:b/>
        </w:rPr>
        <w:t xml:space="preserve">Payment Due:</w:t>
      </w:r>
      <w:r>
        <w:t xml:space="preserve"> </w:t>
      </w:r>
      <w:r>
        <w:t xml:space="preserve">Each installment is due within 30 days of the triggering event. Late payments shall incur a penalty of 1.5% per month.</w:t>
      </w:r>
    </w:p>
    <w:bookmarkEnd w:id="24"/>
    <w:bookmarkStart w:id="25" w:name="terms-and-conditions"/>
    <w:p>
      <w:pPr>
        <w:pStyle w:val="Heading2"/>
      </w:pPr>
      <w:r>
        <w:t xml:space="preserve">5. Terms and Conditions</w:t>
      </w:r>
    </w:p>
    <w:p>
      <w:pPr>
        <w:numPr>
          <w:ilvl w:val="0"/>
          <w:numId w:val="1002"/>
        </w:numPr>
        <w:pStyle w:val="Compact"/>
      </w:pPr>
      <w:r>
        <w:t xml:space="preserve">This Purchase Order is governed by the laws of the State of Kuwait and the United Nations Convention on Contracts for the International Sale of Goods (CISG).</w:t>
      </w:r>
    </w:p>
    <w:p>
      <w:pPr>
        <w:numPr>
          <w:ilvl w:val="0"/>
          <w:numId w:val="1002"/>
        </w:numPr>
        <w:pStyle w:val="Compact"/>
      </w:pPr>
      <w:r>
        <w:t xml:space="preserve">All equipment must carry a minimum 24-month manufacturer's warranty, with on-site service coverage in Kuwait Kuwait City. The supplier shall designate a local service agent in Kuwait for the duration of the warranty period.</w:t>
      </w:r>
    </w:p>
    <w:p>
      <w:pPr>
        <w:numPr>
          <w:ilvl w:val="0"/>
          <w:numId w:val="1002"/>
        </w:numPr>
        <w:pStyle w:val="Compact"/>
      </w:pPr>
      <w:r>
        <w:t xml:space="preserve">The Medical Researcher, Dr. Faisal Al-Mutairi, or his authorized delegate, shall conduct a formal acceptance inspection within 10 business days of delivery. Any defects or non-conformities must be reported in writing, and the supplier shall rectify or replace the affected items within 15 business days at no additional cost.</w:t>
      </w:r>
    </w:p>
    <w:p>
      <w:pPr>
        <w:numPr>
          <w:ilvl w:val="0"/>
          <w:numId w:val="1002"/>
        </w:numPr>
        <w:pStyle w:val="Compact"/>
      </w:pPr>
      <w:r>
        <w:t xml:space="preserve">The supplier warrants that all goods are new, unused, and free from any liens or encumbrances. All reagents and assay kits must have a minimum shelf life of 18 months from the date of delivery to Kuwait Kuwait City.</w:t>
      </w:r>
    </w:p>
    <w:p>
      <w:pPr>
        <w:numPr>
          <w:ilvl w:val="0"/>
          <w:numId w:val="1002"/>
        </w:numPr>
        <w:pStyle w:val="Compact"/>
      </w:pPr>
      <w:r>
        <w:t xml:space="preserve">Intellectual property: All data generated by the Medical Researcher using the procured equipment remains the sole property of Al-Nahda Medical Research Institute. The supplier shall not claim any rights over research outputs.</w:t>
      </w:r>
    </w:p>
    <w:p>
      <w:pPr>
        <w:numPr>
          <w:ilvl w:val="0"/>
          <w:numId w:val="1002"/>
        </w:numPr>
        <w:pStyle w:val="Compact"/>
      </w:pPr>
      <w:r>
        <w:t xml:space="preserve">Force Majeure: Neither party shall be liable for delays caused by events beyond reasonable control, including but not limited to natural disasters, government sanctions, or port closures in Kuwait.</w:t>
      </w:r>
    </w:p>
    <w:p>
      <w:pPr>
        <w:numPr>
          <w:ilvl w:val="0"/>
          <w:numId w:val="1002"/>
        </w:numPr>
        <w:pStyle w:val="Compact"/>
      </w:pPr>
      <w:r>
        <w:t xml:space="preserve">Dispute Resolution: Any disputes arising from this Purchase Order shall first be subject to good-faith negotiation. If unresolved within 30 days, the matter shall be referred to arbitration under the rules of the Kuwait Dispute Resolution Center in Kuwait Kuwait City.</w:t>
      </w:r>
    </w:p>
    <w:bookmarkEnd w:id="25"/>
    <w:p>
      <w:pPr>
        <w:pStyle w:val="FirstParagraph"/>
      </w:pPr>
      <w:r>
        <w:rPr>
          <w:bCs/>
          <w:b/>
        </w:rPr>
        <w:t xml:space="preserve">Important Note:</w:t>
      </w:r>
      <w:r>
        <w:t xml:space="preserve"> </w:t>
      </w:r>
      <w:r>
        <w:t xml:space="preserve">This Purchase Order is subject to final approval by the Kuwait Ministry of Health's Research Ethics Committee. No goods shall be shipped until written clearance is provided. The Medical Researcher team in Kuwait Kuwait City will coordinate all regulatory filings with the supplier's export compliance department.</w:t>
      </w:r>
    </w:p>
    <w:bookmarkStart w:id="26" w:name="authorization-and-signatures"/>
    <w:p>
      <w:pPr>
        <w:pStyle w:val="Heading2"/>
      </w:pPr>
      <w:r>
        <w:t xml:space="preserve">6. Authorization and Signatures</w:t>
      </w:r>
    </w:p>
    <w:p>
      <w:pPr>
        <w:pStyle w:val="FirstParagraph"/>
      </w:pPr>
      <w:r>
        <w:t xml:space="preserve">By signing below, both parties acknowledge and agree to all terms, conditions, and specifications outlined in this Purchase Order. This document constitutes a binding agreement for the procurement of the items listed herein for the benefit of the Medical Researcher program at Al-Nahda Medical Research Institute, Kuwait Kuwait City.</w:t>
      </w:r>
    </w:p>
    <w:bookmarkEnd w:id="26"/>
    <w:p>
      <w:pPr>
        <w:pStyle w:val="BodyText"/>
      </w:pPr>
      <w:r>
        <w:rPr>
          <w:bCs/>
          <w:b/>
        </w:rPr>
        <w:t xml:space="preserve">For the Buyer – Al-Nahda Medical Research Institute</w:t>
      </w:r>
      <w:r>
        <w:br/>
      </w:r>
      <w:r>
        <w:br/>
      </w:r>
      <w:r>
        <w:t xml:space="preserve">Name: Dr. Layla Al-Sabah</w:t>
      </w:r>
      <w:r>
        <w:br/>
      </w:r>
      <w:r>
        <w:t xml:space="preserve">Title: Head of Procurement &amp; Supply Chain</w:t>
      </w:r>
      <w:r>
        <w:br/>
      </w:r>
      <w:r>
        <w:t xml:space="preserve">Date: _________________________</w:t>
      </w:r>
      <w:r>
        <w:br/>
      </w:r>
      <w:r>
        <w:t xml:space="preserve">Signature: _________________________</w:t>
      </w:r>
      <w:r>
        <w:br/>
      </w:r>
      <w:r>
        <w:t xml:space="preserve">Official Stamp:</w:t>
      </w:r>
    </w:p>
    <w:p>
      <w:pPr>
        <w:pStyle w:val="BodyText"/>
      </w:pPr>
      <w:r>
        <w:rPr>
          <w:bCs/>
          <w:b/>
        </w:rPr>
        <w:t xml:space="preserve">For the Supplier – GlobalMed Scientific Supplies LLC</w:t>
      </w:r>
      <w:r>
        <w:br/>
      </w:r>
      <w:r>
        <w:br/>
      </w:r>
      <w:r>
        <w:t xml:space="preserve">Name: Mr. James Whitfield</w:t>
      </w:r>
      <w:r>
        <w:br/>
      </w:r>
      <w:r>
        <w:t xml:space="preserve">Title: Sales Director, Middle East Region</w:t>
      </w:r>
      <w:r>
        <w:br/>
      </w:r>
      <w:r>
        <w:t xml:space="preserve">Date: _________________________</w:t>
      </w:r>
      <w:r>
        <w:br/>
      </w:r>
      <w:r>
        <w:t xml:space="preserve">Signature: _________________________</w:t>
      </w:r>
      <w:r>
        <w:br/>
      </w:r>
      <w:r>
        <w:t xml:space="preserve">Company Seal:</w:t>
      </w:r>
    </w:p>
    <w:p>
      <w:pPr>
        <w:pStyle w:val="BodyText"/>
      </w:pPr>
      <w:r>
        <w:t xml:space="preserve">Purchase Order No: PO-KW-2025-00347 | Al-Nahda Medical Research Institute | Kuwait Kuwait City</w:t>
      </w:r>
    </w:p>
    <w:p>
      <w:pPr>
        <w:pStyle w:val="BodyText"/>
      </w:pPr>
      <w:r>
        <w:t xml:space="preserve">This document is confidential and intended solely for the named parties. Unauthorized reproduction or distribution is prohibited.</w:t>
      </w:r>
    </w:p>
    <w:p>
      <w:pPr>
        <w:pStyle w:val="BodyText"/>
      </w:pPr>
      <w:r>
        <w:t xml:space="preserve">Page 1 of 1 | Generated: 14 June 2025</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Medical Researcher - Kuwait Kuwait City</dc:title>
  <dc:creator/>
  <dc:language>en</dc:language>
  <cp:keywords/>
  <dcterms:created xsi:type="dcterms:W3CDTF">2026-10-10T06:31:13Z</dcterms:created>
  <dcterms:modified xsi:type="dcterms:W3CDTF">2026-10-10T06:31:13Z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