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official-document"/>
    <w:p>
      <w:pPr>
        <w:pStyle w:val="Heading1"/>
      </w:pPr>
      <w:r>
        <w:t xml:space="preserve">PURCHASE ORDER</w:t>
      </w:r>
      <w:r>
        <w:t xml:space="preserve"> </w:t>
      </w:r>
      <w:r>
        <w:t xml:space="preserve">OFFICIAL DOCUMENT</w:t>
      </w:r>
    </w:p>
    <w:p>
      <w:pPr>
        <w:pStyle w:val="FirstParagraph"/>
      </w:pPr>
      <w:r>
        <w:rPr>
          <w:bCs/>
          <w:b/>
        </w:rPr>
        <w:t xml:space="preserve">Malaysian Institute of Advanced Medical Sciences (MIAMS)</w:t>
      </w:r>
    </w:p>
    <w:p>
      <w:pPr>
        <w:pStyle w:val="BodyText"/>
      </w:pPr>
      <w:r>
        <w:t xml:space="preserve">Level 12, Tower B, Menara Maxis, Jalan Tun Razak, 50400 Malaysia Kuala Lumpur</w:t>
      </w:r>
    </w:p>
    <w:p>
      <w:pPr>
        <w:pStyle w:val="BodyText"/>
      </w:pPr>
      <w:r>
        <w:t xml:space="preserve">Tel: +603-2181-8800 | Email: procurement@miams.gov.my | Registration No: 200301012345</w:t>
      </w:r>
    </w:p>
    <w:bookmarkEnd w:id="20"/>
    <w:p>
      <w:pPr>
        <w:pStyle w:val="BodyText"/>
      </w:pPr>
      <w:r>
        <w:rPr>
          <w:bCs/>
          <w:b/>
        </w:rPr>
        <w:t xml:space="preserve">Purchase Order No:</w:t>
      </w:r>
      <w:r>
        <w:t xml:space="preserve"> </w:t>
      </w:r>
      <w:r>
        <w:t xml:space="preserve">PO-MIAMS-2025-04872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Buyer (Medical Researcher):</w:t>
      </w:r>
      <w:r>
        <w:t xml:space="preserve"> </w:t>
      </w:r>
      <w:r>
        <w:t xml:space="preserve">Dr. Aisyah binti Rahman, PhD</w:t>
      </w:r>
    </w:p>
    <w:p>
      <w:pPr>
        <w:pStyle w:val="BodyText"/>
      </w:pPr>
      <w:r>
        <w:rPr>
          <w:bCs/>
          <w:b/>
        </w:rPr>
        <w:t xml:space="preserve">Department:</w:t>
      </w:r>
      <w:r>
        <w:t xml:space="preserve"> </w:t>
      </w:r>
      <w:r>
        <w:t xml:space="preserve">Molecular Oncology &amp; Genomics</w:t>
      </w:r>
    </w:p>
    <w:p>
      <w:pPr>
        <w:pStyle w:val="BodyText"/>
      </w:pPr>
      <w:r>
        <w:rPr>
          <w:bCs/>
          <w:b/>
        </w:rPr>
        <w:t xml:space="preserve">Project Code:</w:t>
      </w:r>
      <w:r>
        <w:t xml:space="preserve"> </w:t>
      </w:r>
      <w:r>
        <w:t xml:space="preserve">MRG-2025-KL-019</w:t>
      </w:r>
    </w:p>
    <w:p>
      <w:pPr>
        <w:pStyle w:val="BodyText"/>
      </w:pPr>
      <w:r>
        <w:rPr>
          <w:bCs/>
          <w:b/>
        </w:rPr>
        <w:t xml:space="preserve">Supplier:</w:t>
      </w:r>
      <w:r>
        <w:t xml:space="preserve"> </w:t>
      </w:r>
      <w:r>
        <w:t xml:space="preserve">BioLab Supplies (M) Sdn. Bhd.</w:t>
      </w:r>
    </w:p>
    <w:p>
      <w:pPr>
        <w:pStyle w:val="BodyText"/>
      </w:pPr>
      <w:r>
        <w:rPr>
          <w:bCs/>
          <w:b/>
        </w:rPr>
        <w:t xml:space="preserve">Supplier Address:</w:t>
      </w:r>
      <w:r>
        <w:t xml:space="preserve"> </w:t>
      </w:r>
      <w:r>
        <w:t xml:space="preserve">88 Jalan Ampang, 50450 Malaysia Kuala Lumpur</w:t>
      </w:r>
    </w:p>
    <w:p>
      <w:pPr>
        <w:pStyle w:val="BodyText"/>
      </w:pPr>
      <w:r>
        <w:rPr>
          <w:bCs/>
          <w:b/>
        </w:rPr>
        <w:t xml:space="preserve">Supplier TIN:</w:t>
      </w:r>
      <w:r>
        <w:t xml:space="preserve"> </w:t>
      </w:r>
      <w:r>
        <w:t xml:space="preserve">0023456789</w:t>
      </w:r>
    </w:p>
    <w:bookmarkStart w:id="21" w:name="purpose-and-scope-of-this-purchase-order"/>
    <w:p>
      <w:pPr>
        <w:pStyle w:val="Heading2"/>
      </w:pPr>
      <w:r>
        <w:t xml:space="preserve">1. Purpose and Scope of This Purchase Order</w:t>
      </w:r>
    </w:p>
    <w:p>
      <w:pPr>
        <w:pStyle w:val="FirstParagraph"/>
      </w:pPr>
      <w:r>
        <w:t xml:space="preserve">This Purchase Order is issued by Dr. Aisyah binti Rahman, PhD, a senior Medical Researcher affiliated with the Molecular Oncology &amp; Genomics Department at the Malaysian Institute of Advanced Medical Sciences, located in Malaysia Kuala Lumpur. This Purchase Order authorizes the procurement of specialized laboratory equipment, reagents, consumables, and analytical software required for the ongoing clinical research project titled "Genomic Profiling of Treatment-Resistant Breast Cancer in Southeast Asian Populations" (Project Code: MRG-2025-KL-019). All items listed in this Purchase Order must comply with the Malaysian Ministry of Health (MOH) standards, the Malaysian Standard (MS) specifications, and the guidelines set forth by the National Medical Research Council (NMRC) of Malaysia.</w:t>
      </w:r>
    </w:p>
    <w:bookmarkEnd w:id="21"/>
    <w:bookmarkStart w:id="22"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Real-Time PCR Thermal Cycler</w:t>
            </w:r>
          </w:p>
        </w:tc>
        <w:tc>
          <w:tcPr/>
          <w:p>
            <w:pPr>
              <w:pStyle w:val="Compact"/>
              <w:jc w:val="left"/>
            </w:pPr>
            <w:r>
              <w:t xml:space="preserve">Applied Biosystems QuantStudio 7, 96-well</w:t>
            </w:r>
          </w:p>
        </w:tc>
        <w:tc>
          <w:tcPr/>
          <w:p>
            <w:pPr>
              <w:pStyle w:val="Compact"/>
              <w:jc w:val="left"/>
            </w:pPr>
            <w:r>
              <w:t xml:space="preserve">2</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02</w:t>
            </w:r>
          </w:p>
        </w:tc>
        <w:tc>
          <w:tcPr/>
          <w:p>
            <w:pPr>
              <w:pStyle w:val="Compact"/>
              <w:jc w:val="left"/>
            </w:pPr>
            <w:r>
              <w:t xml:space="preserve">Next-Generation Sequencing Kit (Whole Exome)</w:t>
            </w:r>
          </w:p>
        </w:tc>
        <w:tc>
          <w:tcPr/>
          <w:p>
            <w:pPr>
              <w:pStyle w:val="Compact"/>
              <w:jc w:val="left"/>
            </w:pPr>
            <w:r>
              <w:t xml:space="preserve">Illumina Nextera Flex, 24-sample pack</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High-Performance Liquid Chromatography System</w:t>
            </w:r>
          </w:p>
        </w:tc>
        <w:tc>
          <w:tcPr/>
          <w:p>
            <w:pPr>
              <w:pStyle w:val="Compact"/>
              <w:jc w:val="left"/>
            </w:pPr>
            <w:r>
              <w:t xml:space="preserve">Waters ACQUITY UPLC I-Class</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04</w:t>
            </w:r>
          </w:p>
        </w:tc>
        <w:tc>
          <w:tcPr/>
          <w:p>
            <w:pPr>
              <w:pStyle w:val="Compact"/>
              <w:jc w:val="left"/>
            </w:pPr>
            <w:r>
              <w:t xml:space="preserve">Cell Culture Media (DMEM, High Glucose)</w:t>
            </w:r>
          </w:p>
        </w:tc>
        <w:tc>
          <w:tcPr/>
          <w:p>
            <w:pPr>
              <w:pStyle w:val="Compact"/>
              <w:jc w:val="left"/>
            </w:pPr>
            <w:r>
              <w:t xml:space="preserve">Gibco, 500 mL bottles, sterile</w:t>
            </w:r>
          </w:p>
        </w:tc>
        <w:tc>
          <w:tcPr/>
          <w:p>
            <w:pPr>
              <w:pStyle w:val="Compact"/>
              <w:jc w:val="left"/>
            </w:pPr>
            <w:r>
              <w:t xml:space="preserve">50</w:t>
            </w:r>
          </w:p>
        </w:tc>
        <w:tc>
          <w:tcPr/>
          <w:p>
            <w:pPr>
              <w:pStyle w:val="Compact"/>
              <w:jc w:val="left"/>
            </w:pPr>
            <w:r>
              <w:t xml:space="preserve">385.00</w:t>
            </w:r>
          </w:p>
        </w:tc>
        <w:tc>
          <w:tcPr/>
          <w:p>
            <w:pPr>
              <w:pStyle w:val="Compact"/>
              <w:jc w:val="left"/>
            </w:pPr>
            <w:r>
              <w:t xml:space="preserve">19,250.00</w:t>
            </w:r>
          </w:p>
        </w:tc>
      </w:tr>
      <w:tr>
        <w:tc>
          <w:tcPr/>
          <w:p>
            <w:pPr>
              <w:pStyle w:val="Compact"/>
              <w:jc w:val="left"/>
            </w:pPr>
            <w:r>
              <w:t xml:space="preserve">05</w:t>
            </w:r>
          </w:p>
        </w:tc>
        <w:tc>
          <w:tcPr/>
          <w:p>
            <w:pPr>
              <w:pStyle w:val="Compact"/>
              <w:jc w:val="left"/>
            </w:pPr>
            <w:r>
              <w:t xml:space="preserve">Monoclonal Antibody Panel (HER2, ER, PR)</w:t>
            </w:r>
          </w:p>
        </w:tc>
        <w:tc>
          <w:tcPr/>
          <w:p>
            <w:pPr>
              <w:pStyle w:val="Compact"/>
              <w:jc w:val="left"/>
            </w:pPr>
            <w:r>
              <w:t xml:space="preserve">Dako, 100 mL, ready-to-use</w:t>
            </w:r>
          </w:p>
        </w:tc>
        <w:tc>
          <w:tcPr/>
          <w:p>
            <w:pPr>
              <w:pStyle w:val="Compact"/>
              <w:jc w:val="left"/>
            </w:pPr>
            <w:r>
              <w:t xml:space="preserve">30</w:t>
            </w:r>
          </w:p>
        </w:tc>
        <w:tc>
          <w:tcPr/>
          <w:p>
            <w:pPr>
              <w:pStyle w:val="Compact"/>
              <w:jc w:val="left"/>
            </w:pPr>
            <w:r>
              <w:t xml:space="preserve">1,150.00</w:t>
            </w:r>
          </w:p>
        </w:tc>
        <w:tc>
          <w:tcPr/>
          <w:p>
            <w:pPr>
              <w:pStyle w:val="Compact"/>
              <w:jc w:val="left"/>
            </w:pPr>
            <w:r>
              <w:t xml:space="preserve">34,500.00</w:t>
            </w:r>
          </w:p>
        </w:tc>
      </w:tr>
      <w:tr>
        <w:tc>
          <w:tcPr/>
          <w:p>
            <w:pPr>
              <w:pStyle w:val="Compact"/>
              <w:jc w:val="left"/>
            </w:pPr>
            <w:r>
              <w:t xml:space="preserve">06</w:t>
            </w:r>
          </w:p>
        </w:tc>
        <w:tc>
          <w:tcPr/>
          <w:p>
            <w:pPr>
              <w:pStyle w:val="Compact"/>
              <w:jc w:val="left"/>
            </w:pPr>
            <w:r>
              <w:t xml:space="preserve">Bioinformatics Software License (Genomic Analysis)</w:t>
            </w:r>
          </w:p>
        </w:tc>
        <w:tc>
          <w:tcPr/>
          <w:p>
            <w:pPr>
              <w:pStyle w:val="Compact"/>
              <w:jc w:val="left"/>
            </w:pPr>
            <w:r>
              <w:t xml:space="preserve">QIAGEN CLC Genomics Workbench, 3-yr</w:t>
            </w:r>
          </w:p>
        </w:tc>
        <w:tc>
          <w:tcPr/>
          <w:p>
            <w:pPr>
              <w:pStyle w:val="Compact"/>
              <w:jc w:val="left"/>
            </w:pPr>
            <w:r>
              <w:t xml:space="preserve">5</w:t>
            </w:r>
          </w:p>
        </w:tc>
        <w:tc>
          <w:tcPr/>
          <w:p>
            <w:pPr>
              <w:pStyle w:val="Compact"/>
              <w:jc w:val="left"/>
            </w:pPr>
            <w:r>
              <w:t xml:space="preserve">12,800.00</w:t>
            </w:r>
          </w:p>
        </w:tc>
        <w:tc>
          <w:tcPr/>
          <w:p>
            <w:pPr>
              <w:pStyle w:val="Compact"/>
              <w:jc w:val="left"/>
            </w:pPr>
            <w:r>
              <w:t xml:space="preserve">64,000.00</w:t>
            </w:r>
          </w:p>
        </w:tc>
      </w:tr>
      <w:tr>
        <w:tc>
          <w:tcPr/>
          <w:p>
            <w:pPr>
              <w:pStyle w:val="Compact"/>
              <w:jc w:val="left"/>
            </w:pPr>
            <w:r>
              <w:t xml:space="preserve">07</w:t>
            </w:r>
          </w:p>
        </w:tc>
        <w:tc>
          <w:tcPr/>
          <w:p>
            <w:pPr>
              <w:pStyle w:val="Compact"/>
              <w:jc w:val="left"/>
            </w:pPr>
            <w:r>
              <w:t xml:space="preserve">Ultra-Low Temperature Freezer (-80°C)</w:t>
            </w:r>
          </w:p>
        </w:tc>
        <w:tc>
          <w:tcPr/>
          <w:p>
            <w:pPr>
              <w:pStyle w:val="Compact"/>
              <w:jc w:val="left"/>
            </w:pPr>
            <w:r>
              <w:t xml:space="preserve">Thermo Fisher TSX Ultra, 400 L</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Disposable PCR Tubes and Tips (500 µL)</w:t>
            </w:r>
          </w:p>
        </w:tc>
        <w:tc>
          <w:tcPr/>
          <w:p>
            <w:pPr>
              <w:pStyle w:val="Compact"/>
              <w:jc w:val="left"/>
            </w:pPr>
            <w:r>
              <w:t xml:space="preserve">Axygen, 1,000-pack, RNase-free</w:t>
            </w:r>
          </w:p>
        </w:tc>
        <w:tc>
          <w:tcPr/>
          <w:p>
            <w:pPr>
              <w:pStyle w:val="Compact"/>
              <w:jc w:val="left"/>
            </w:pPr>
            <w:r>
              <w:t xml:space="preserve">200</w:t>
            </w:r>
          </w:p>
        </w:tc>
        <w:tc>
          <w:tcPr/>
          <w:p>
            <w:pPr>
              <w:pStyle w:val="Compact"/>
              <w:jc w:val="left"/>
            </w:pPr>
            <w:r>
              <w:t xml:space="preserve">42.00</w:t>
            </w:r>
          </w:p>
        </w:tc>
        <w:tc>
          <w:tcPr/>
          <w:p>
            <w:pPr>
              <w:pStyle w:val="Compact"/>
              <w:jc w:val="left"/>
            </w:pPr>
            <w:r>
              <w:t xml:space="preserve">8,400.00</w:t>
            </w:r>
          </w:p>
        </w:tc>
      </w:tr>
    </w:tbl>
    <w:p>
      <w:pPr>
        <w:pStyle w:val="BodyText"/>
      </w:pPr>
      <w:r>
        <w:t xml:space="preserve">Subtotal:</w:t>
      </w:r>
      <w:r>
        <w:t xml:space="preserve"> </w:t>
      </w:r>
      <w:r>
        <w:rPr>
          <w:bCs/>
          <w:b/>
        </w:rPr>
        <w:t xml:space="preserve">MYR 656,150.00</w:t>
      </w:r>
    </w:p>
    <w:p>
      <w:pPr>
        <w:pStyle w:val="BodyText"/>
      </w:pPr>
      <w:r>
        <w:t xml:space="preserve">SST (Sales &amp; Service Tax) @ 8%:</w:t>
      </w:r>
      <w:r>
        <w:t xml:space="preserve"> </w:t>
      </w:r>
      <w:r>
        <w:rPr>
          <w:bCs/>
          <w:b/>
        </w:rPr>
        <w:t xml:space="preserve">MYR 52,492.00</w:t>
      </w:r>
    </w:p>
    <w:p>
      <w:pPr>
        <w:pStyle w:val="BodyText"/>
      </w:pPr>
      <w:r>
        <w:t xml:space="preserve">Delivery &amp; Installation (within Malaysia Kuala Lumpur):</w:t>
      </w:r>
      <w:r>
        <w:t xml:space="preserve"> </w:t>
      </w:r>
      <w:r>
        <w:rPr>
          <w:bCs/>
          <w:b/>
        </w:rPr>
        <w:t xml:space="preserve">MYR 3,500.00</w:t>
      </w:r>
    </w:p>
    <w:p>
      <w:pPr>
        <w:pStyle w:val="BodyText"/>
      </w:pPr>
      <w:r>
        <w:t xml:space="preserve">Grand Total: MYR 712,142.00</w:t>
      </w:r>
    </w:p>
    <w:bookmarkEnd w:id="22"/>
    <w:bookmarkStart w:id="23" w:name="delivery-and-installation-terms"/>
    <w:p>
      <w:pPr>
        <w:pStyle w:val="Heading2"/>
      </w:pPr>
      <w:r>
        <w:t xml:space="preserve">3. Delivery and Installation Terms</w:t>
      </w:r>
    </w:p>
    <w:p>
      <w:pPr>
        <w:pStyle w:val="FirstParagraph"/>
      </w:pPr>
      <w:r>
        <w:t xml:space="preserve">All items specified in this Purchase Order shall be delivered to the MIAMS Research Laboratory, Level 12, Tower B, Menara Maxis, Jalan Tun Razak, 50400 Malaysia Kuala Lumpur. The supplier is required to coordinate delivery with the Medical Researcher's laboratory team to ensure proper handling, installation, and calibration of all equipment. Delivery must be completed no later than 05 July 2025. The supplier shall provide a minimum of 48 hours' advance written notice prior to delivery. All equipment must be accompanied by valid certificates of conformity, calibration reports, and user manuals in both English and Bahasa Malaysia. Installation and commissioning of the HPLC system and the -80°C freezer shall be performed by certified technicians from the supplier's Malaysia Kuala Lumpur service center.</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to the supplier's designated account (Bank Islam Malaysia Berhad, Account No: 1234-5678-9012).</w:t>
      </w:r>
    </w:p>
    <w:p>
      <w:pPr>
        <w:numPr>
          <w:ilvl w:val="0"/>
          <w:numId w:val="1001"/>
        </w:numPr>
        <w:pStyle w:val="Compact"/>
      </w:pPr>
      <w:r>
        <w:rPr>
          <w:bCs/>
          <w:b/>
        </w:rPr>
        <w:t xml:space="preserve">Payment Schedule:</w:t>
      </w:r>
      <w:r>
        <w:t xml:space="preserve"> </w:t>
      </w:r>
      <w:r>
        <w:t xml:space="preserve">40% advance payment upon acceptance of this Purchase Order; 50% upon confirmed delivery and inspection at the Malaysia Kuala Lumpur facility; 10% upon successful commissioning and a 30-day defect-free warranty period.</w:t>
      </w:r>
    </w:p>
    <w:p>
      <w:pPr>
        <w:numPr>
          <w:ilvl w:val="0"/>
          <w:numId w:val="1001"/>
        </w:numPr>
        <w:pStyle w:val="Compact"/>
      </w:pPr>
      <w:r>
        <w:rPr>
          <w:bCs/>
          <w:b/>
        </w:rPr>
        <w:t xml:space="preserve">Payment Currency:</w:t>
      </w:r>
      <w:r>
        <w:t xml:space="preserve"> </w:t>
      </w:r>
      <w:r>
        <w:t xml:space="preserve">Malaysian Ringgit (MYR / RM).</w:t>
      </w:r>
    </w:p>
    <w:p>
      <w:pPr>
        <w:numPr>
          <w:ilvl w:val="0"/>
          <w:numId w:val="1001"/>
        </w:numPr>
        <w:pStyle w:val="Compact"/>
      </w:pPr>
      <w:r>
        <w:rPr>
          <w:bCs/>
          <w:b/>
        </w:rPr>
        <w:t xml:space="preserve">Invoice Requirements:</w:t>
      </w:r>
      <w:r>
        <w:t xml:space="preserve"> </w:t>
      </w:r>
      <w:r>
        <w:t xml:space="preserve">The supplier must issue a tax invoice compliant with the Inland Revenue Board of Malaysia (LHDN) e-Invoice mandate effective 1 January 2025.</w:t>
      </w:r>
    </w:p>
    <w:p>
      <w:pPr>
        <w:numPr>
          <w:ilvl w:val="0"/>
          <w:numId w:val="1001"/>
        </w:numPr>
        <w:pStyle w:val="Compact"/>
      </w:pPr>
      <w:r>
        <w:rPr>
          <w:bCs/>
          <w:b/>
        </w:rPr>
        <w:t xml:space="preserve">Penalty for Late Delivery:</w:t>
      </w:r>
      <w:r>
        <w:t xml:space="preserve"> </w:t>
      </w:r>
      <w:r>
        <w:t xml:space="preserve">A penalty of 0.5% of the total Purchase Order value per calendar day of delay, capped at 5% of the total value, shall be deducted from the final payment.</w:t>
      </w:r>
    </w:p>
    <w:bookmarkEnd w:id="24"/>
    <w:bookmarkStart w:id="25" w:name="quality-assurance-and-compliance"/>
    <w:p>
      <w:pPr>
        <w:pStyle w:val="Heading2"/>
      </w:pPr>
      <w:r>
        <w:t xml:space="preserve">5. Quality Assurance and Compliance</w:t>
      </w:r>
    </w:p>
    <w:p>
      <w:pPr>
        <w:pStyle w:val="FirstParagraph"/>
      </w:pPr>
      <w:r>
        <w:t xml:space="preserve">The Medical Researcher, Dr. Aisyah binti Rahman, PhD, reserves the right to inspect and test all delivered items within 14 calendar days of receipt at the Malaysia Kuala Lumpur laboratory. Any item found to be defective, non-conforming to the specifications stated in this Purchase Order, or lacking the required regulatory approvals from the National Pharmaceutical Regulatory Agency (NPRA) of Malaysia shall be returned at the supplier's sole expense. All biological reagents and media must carry valid expiry dates of no less than 18 months from the date of delivery. The supplier warrants that all equipment is new, unused, and free from any encumbrance. This Purchase Order is governed by the laws of Malaysia, and any disputes shall be resolved through the courts of Malaysia Kuala Lumpur or by arbitration under the rules of the Asian International Arbitration Centre (AIAC).</w:t>
      </w:r>
    </w:p>
    <w:bookmarkEnd w:id="25"/>
    <w:bookmarkStart w:id="26" w:name="authorization-and-signatures"/>
    <w:p>
      <w:pPr>
        <w:pStyle w:val="Heading2"/>
      </w:pPr>
      <w:r>
        <w:t xml:space="preserve">6. Authorization and Signatures</w:t>
      </w:r>
    </w:p>
    <w:p>
      <w:pPr>
        <w:pStyle w:val="FirstParagraph"/>
      </w:pPr>
      <w:r>
        <w:t xml:space="preserve">This Purchase Order is valid for a period of 60 days from the date of issue. It becomes binding upon countersignature by both the authorized Medical Researcher and the supplier's authorized representative. No amendments to this Purchase Order shall be valid unless made in writing and signed by both parties.</w:t>
      </w:r>
    </w:p>
    <w:bookmarkEnd w:id="26"/>
    <w:p>
      <w:pPr>
        <w:pStyle w:val="BodyText"/>
      </w:pPr>
      <w:r>
        <w:rPr>
          <w:bCs/>
          <w:b/>
        </w:rPr>
        <w:t xml:space="preserve">For and on behalf of the Buyer (Medical Researcher):</w:t>
      </w:r>
    </w:p>
    <w:p>
      <w:pPr>
        <w:pStyle w:val="BodyText"/>
      </w:pPr>
      <w:r>
        <w:rPr>
          <w:bCs/>
          <w:b/>
        </w:rPr>
        <w:t xml:space="preserve">Name:</w:t>
      </w:r>
      <w:r>
        <w:t xml:space="preserve"> </w:t>
      </w:r>
      <w:r>
        <w:t xml:space="preserve">Dr. Aisyah binti Rahman, PhD</w:t>
      </w:r>
    </w:p>
    <w:p>
      <w:pPr>
        <w:pStyle w:val="BodyText"/>
      </w:pPr>
      <w:r>
        <w:rPr>
          <w:bCs/>
          <w:b/>
        </w:rPr>
        <w:t xml:space="preserve">Title:</w:t>
      </w:r>
      <w:r>
        <w:t xml:space="preserve"> </w:t>
      </w:r>
      <w:r>
        <w:t xml:space="preserve">Senior Medical Researcher, Molecular Oncology &amp; Genomics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Supplier:</w:t>
      </w:r>
    </w:p>
    <w:p>
      <w:pPr>
        <w:pStyle w:val="BodyText"/>
      </w:pPr>
      <w:r>
        <w:rPr>
          <w:bCs/>
          <w:b/>
        </w:rPr>
        <w:t xml:space="preserve">Name:</w:t>
      </w:r>
      <w:r>
        <w:t xml:space="preserve"> </w:t>
      </w:r>
      <w:r>
        <w:t xml:space="preserve">Mr. Tan Wei Ming</w:t>
      </w:r>
    </w:p>
    <w:p>
      <w:pPr>
        <w:pStyle w:val="BodyText"/>
      </w:pPr>
      <w:r>
        <w:rPr>
          <w:bCs/>
          <w:b/>
        </w:rPr>
        <w:t xml:space="preserve">Title:</w:t>
      </w:r>
      <w:r>
        <w:t xml:space="preserve"> </w:t>
      </w:r>
      <w:r>
        <w:t xml:space="preserve">General Manager, BioLab Supplies (M) Sdn. Bhd.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(PO-MIAMS-2025-04872) was issued by the Malaysian Institute of Advanced Medical Sciences, Malaysia Kuala Lumpur. This document is the property of MIAMS and is intended solely for the procurement of research materials for the Medical Researcher's assigned project. Unauthorized reproduction or distribution is prohibited under the Malaysian Copyright Act 1987. For inquiries, contact the MIAMS Procurement Division at procurement@miams.gov.my or +603-2181-8800.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Malaysia Kuala Lumpur</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