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Mexico</w:t>
      </w:r>
      <w:r>
        <w:t xml:space="preserve"> </w:t>
      </w:r>
      <w:r>
        <w:t xml:space="preserve">Mexico</w:t>
      </w:r>
      <w:r>
        <w:t xml:space="preserve"> </w:t>
      </w:r>
      <w:r>
        <w:t xml:space="preserve">City</w:t>
      </w:r>
    </w:p>
    <w:bookmarkStart w:id="26" w:name="purchase-order"/>
    <w:p>
      <w:pPr>
        <w:pStyle w:val="Heading1"/>
      </w:pPr>
      <w:r>
        <w:t xml:space="preserve">PURCHASE ORDER</w:t>
      </w:r>
    </w:p>
    <w:p>
      <w:pPr>
        <w:pStyle w:val="FirstParagraph"/>
      </w:pPr>
      <w:r>
        <w:t xml:space="preserve">Medical Researcher Procurement — Mexico, Mexico City</w:t>
      </w:r>
    </w:p>
    <w:p>
      <w:pPr>
        <w:pStyle w:val="BodyText"/>
      </w:pPr>
      <w:r>
        <w:t xml:space="preserve">Purchase Order No.: PO-MX-2025-04871</w:t>
      </w:r>
    </w:p>
    <w:bookmarkStart w:id="20" w:name="buyer-information"/>
    <w:p>
      <w:pPr>
        <w:pStyle w:val="Heading2"/>
      </w:pPr>
      <w:r>
        <w:t xml:space="preserve">Buyer Information</w:t>
      </w:r>
    </w:p>
    <w:p>
      <w:pPr>
        <w:pStyle w:val="FirstParagraph"/>
      </w:pPr>
      <w:r>
        <w:t xml:space="preserve">Organization: Instituto de Investigaciones Biomédicas, Universidad Nacional Autónoma de México (UNAM)</w:t>
      </w:r>
    </w:p>
    <w:p>
      <w:pPr>
        <w:pStyle w:val="BodyText"/>
      </w:pPr>
      <w:r>
        <w:t xml:space="preserve">Department: Department of Clinical and Translational Research</w:t>
      </w:r>
    </w:p>
    <w:p>
      <w:pPr>
        <w:pStyle w:val="BodyText"/>
      </w:pPr>
      <w:r>
        <w:t xml:space="preserve">Address: Av. Insurgentes Sur 1582, Coyoacán, 04530 Mexico City, Mexico</w:t>
      </w:r>
    </w:p>
    <w:p>
      <w:pPr>
        <w:pStyle w:val="BodyText"/>
      </w:pPr>
      <w:r>
        <w:t xml:space="preserve">Contact: Dr. Elena Ríos Martínez, Principal Investigator</w:t>
      </w:r>
    </w:p>
    <w:p>
      <w:pPr>
        <w:pStyle w:val="BodyText"/>
      </w:pPr>
      <w:r>
        <w:t xml:space="preserve">Email: e.rios@iib.unam.mx</w:t>
      </w:r>
    </w:p>
    <w:p>
      <w:pPr>
        <w:pStyle w:val="BodyText"/>
      </w:pPr>
      <w:r>
        <w:t xml:space="preserve">Telephone: +52 55 5622 4410</w:t>
      </w:r>
    </w:p>
    <w:bookmarkEnd w:id="20"/>
    <w:bookmarkStart w:id="21" w:name="supplier-information"/>
    <w:p>
      <w:pPr>
        <w:pStyle w:val="Heading2"/>
      </w:pPr>
      <w:r>
        <w:t xml:space="preserve">Supplier Information</w:t>
      </w:r>
    </w:p>
    <w:p>
      <w:pPr>
        <w:pStyle w:val="FirstParagraph"/>
      </w:pPr>
      <w:r>
        <w:t xml:space="preserve">Company: BioEquip International S.A. de C.V.</w:t>
      </w:r>
    </w:p>
    <w:p>
      <w:pPr>
        <w:pStyle w:val="BodyText"/>
      </w:pPr>
      <w:r>
        <w:t xml:space="preserve">Address: Av. Paseo de la Reforma 297, Piso 14, Cuauhtémoc, 06600 Mexico City, Mexico</w:t>
      </w:r>
    </w:p>
    <w:p>
      <w:pPr>
        <w:pStyle w:val="BodyText"/>
      </w:pPr>
      <w:r>
        <w:t xml:space="preserve">Contact: Lic. Carlos Vega Sánchez, Sales Director</w:t>
      </w:r>
    </w:p>
    <w:p>
      <w:pPr>
        <w:pStyle w:val="BodyText"/>
      </w:pPr>
      <w:r>
        <w:t xml:space="preserve">Email: c.vega@bioequip.mx</w:t>
      </w:r>
    </w:p>
    <w:p>
      <w:pPr>
        <w:pStyle w:val="BodyText"/>
      </w:pPr>
      <w:r>
        <w:t xml:space="preserve">Telephone: +52 55 5268 7733</w:t>
      </w:r>
    </w:p>
    <w:p>
      <w:pPr>
        <w:pStyle w:val="BodyText"/>
      </w:pPr>
      <w:r>
        <w:t xml:space="preserve">RFC: BEI140523K87</w:t>
      </w:r>
    </w:p>
    <w:bookmarkEnd w:id="21"/>
    <w:p>
      <w:pPr>
        <w:pStyle w:val="BodyText"/>
      </w:pPr>
      <w:r>
        <w:t xml:space="preserve">Purchase Order Date: June 12, 2025</w:t>
      </w:r>
    </w:p>
    <w:p>
      <w:pPr>
        <w:pStyle w:val="BodyText"/>
      </w:pPr>
      <w:r>
        <w:t xml:space="preserve">Required Delivery Date: July 25, 2025</w:t>
      </w:r>
    </w:p>
    <w:p>
      <w:pPr>
        <w:pStyle w:val="BodyText"/>
      </w:pPr>
      <w:r>
        <w:t xml:space="preserve">Delivery Location: Laboratorio de Investigación Médica, Edificio C, Piso 3, UNAM Campus Coyoacán, Mexico City, Mexico</w:t>
      </w:r>
    </w:p>
    <w:p>
      <w:pPr>
        <w:pStyle w:val="BodyText"/>
      </w:pPr>
      <w:r>
        <w:t xml:space="preserve">Payment Terms: Net 45 days from invoice date</w:t>
      </w:r>
    </w:p>
    <w:p>
      <w:pPr>
        <w:pStyle w:val="BodyText"/>
      </w:pPr>
      <w:r>
        <w:t xml:space="preserve">Currency: Mexican Peso (MXN)</w:t>
      </w:r>
    </w:p>
    <w:p>
      <w:pPr>
        <w:pStyle w:val="BodyText"/>
      </w:pPr>
      <w:r>
        <w:t xml:space="preserve">Incoterms: DDP (Delivered Duty Paid) — Mexico City</w:t>
      </w:r>
    </w:p>
    <w:bookmarkStart w:id="22" w:name="X604b72b6bd7c25e5717b7f193c34a0566f594b2"/>
    <w:p>
      <w:pPr>
        <w:pStyle w:val="Heading2"/>
      </w:pPr>
      <w:r>
        <w:t xml:space="preserve">Line Items — Equipment and Materials for Medical Researcher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Real-Time PCR Thermal Cycler (Applied Biosystems 7500 Fast), including software license and installation for the Medical Researcher laboratory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High-Performance Liquid Chromatography (HPLC) System with UV-Vis Detector, calibrated for pharmacokinetic studies conducted by the Medical Researcher team</w:t>
            </w:r>
          </w:p>
        </w:tc>
        <w:tc>
          <w:tcPr/>
          <w:p>
            <w:pPr>
              <w:pStyle w:val="Compact"/>
              <w:jc w:val="left"/>
            </w:pPr>
            <w:r>
              <w:t xml:space="preserve">1</w:t>
            </w:r>
          </w:p>
        </w:tc>
        <w:tc>
          <w:tcPr/>
          <w:p>
            <w:pPr>
              <w:pStyle w:val="Compact"/>
              <w:jc w:val="left"/>
            </w:pPr>
            <w:r>
              <w:t xml:space="preserve">Unit</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03</w:t>
            </w:r>
          </w:p>
        </w:tc>
        <w:tc>
          <w:tcPr/>
          <w:p>
            <w:pPr>
              <w:pStyle w:val="Compact"/>
              <w:jc w:val="left"/>
            </w:pPr>
            <w:r>
              <w:t xml:space="preserve">Cryogenic Freezer (-80°C) for long-term storage of biological samples collected in clinical trials within Mexico City hospitals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198,500.00</w:t>
            </w:r>
          </w:p>
        </w:tc>
        <w:tc>
          <w:tcPr/>
          <w:p>
            <w:pPr>
              <w:pStyle w:val="Compact"/>
              <w:jc w:val="left"/>
            </w:pPr>
            <w:r>
              <w:t xml:space="preserve">397,000.00</w:t>
            </w:r>
          </w:p>
        </w:tc>
      </w:tr>
      <w:tr>
        <w:tc>
          <w:tcPr/>
          <w:p>
            <w:pPr>
              <w:pStyle w:val="Compact"/>
              <w:jc w:val="left"/>
            </w:pPr>
            <w:r>
              <w:t xml:space="preserve">04</w:t>
            </w:r>
          </w:p>
        </w:tc>
        <w:tc>
          <w:tcPr/>
          <w:p>
            <w:pPr>
              <w:pStyle w:val="Compact"/>
              <w:jc w:val="left"/>
            </w:pPr>
            <w:r>
              <w:t xml:space="preserve">Class II Biological Safety Cabinet (BSC-2A2), certified for handling pathogenic agents in the Medical Researcher's virology sub-laboratory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265,000.00</w:t>
            </w:r>
          </w:p>
        </w:tc>
        <w:tc>
          <w:tcPr/>
          <w:p>
            <w:pPr>
              <w:pStyle w:val="Compact"/>
              <w:jc w:val="left"/>
            </w:pPr>
            <w:r>
              <w:t xml:space="preserve">265,000.00</w:t>
            </w:r>
          </w:p>
        </w:tc>
      </w:tr>
      <w:tr>
        <w:tc>
          <w:tcPr/>
          <w:p>
            <w:pPr>
              <w:pStyle w:val="Compact"/>
              <w:jc w:val="left"/>
            </w:pPr>
            <w:r>
              <w:t xml:space="preserve">05</w:t>
            </w:r>
          </w:p>
        </w:tc>
        <w:tc>
          <w:tcPr/>
          <w:p>
            <w:pPr>
              <w:pStyle w:val="Compact"/>
              <w:jc w:val="left"/>
            </w:pPr>
            <w:r>
              <w:t xml:space="preserve">Centrifuge, Ultra-Centrifuge (100,000 RPM), for protein purification and subcellular fractionation required by the Medical Researcher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540,000.00</w:t>
            </w:r>
          </w:p>
        </w:tc>
        <w:tc>
          <w:tcPr/>
          <w:p>
            <w:pPr>
              <w:pStyle w:val="Compact"/>
              <w:jc w:val="left"/>
            </w:pPr>
            <w:r>
              <w:t xml:space="preserve">540,000.00</w:t>
            </w:r>
          </w:p>
        </w:tc>
      </w:tr>
      <w:tr>
        <w:tc>
          <w:tcPr/>
          <w:p>
            <w:pPr>
              <w:pStyle w:val="Compact"/>
              <w:jc w:val="left"/>
            </w:pPr>
            <w:r>
              <w:t xml:space="preserve">06</w:t>
            </w:r>
          </w:p>
        </w:tc>
        <w:tc>
          <w:tcPr/>
          <w:p>
            <w:pPr>
              <w:pStyle w:val="Compact"/>
              <w:jc w:val="left"/>
            </w:pPr>
            <w:r>
              <w:t xml:space="preserve">Reagent Kit — ELISA Assay Panels (24-month supply), including all buffers, substrates, and controls for immunological assays</w:t>
            </w:r>
          </w:p>
        </w:tc>
        <w:tc>
          <w:tcPr/>
          <w:p>
            <w:pPr>
              <w:pStyle w:val="Compact"/>
              <w:jc w:val="left"/>
            </w:pPr>
            <w:r>
              <w:t xml:space="preserve">12</w:t>
            </w:r>
          </w:p>
        </w:tc>
        <w:tc>
          <w:tcPr/>
          <w:p>
            <w:pPr>
              <w:pStyle w:val="Compact"/>
              <w:jc w:val="left"/>
            </w:pPr>
            <w:r>
              <w:t xml:space="preserve">Boxes</w:t>
            </w:r>
          </w:p>
        </w:tc>
        <w:tc>
          <w:tcPr/>
          <w:p>
            <w:pPr>
              <w:pStyle w:val="Compact"/>
              <w:jc w:val="left"/>
            </w:pPr>
            <w:r>
              <w:t xml:space="preserve">18,750.00</w:t>
            </w:r>
          </w:p>
        </w:tc>
        <w:tc>
          <w:tcPr/>
          <w:p>
            <w:pPr>
              <w:pStyle w:val="Compact"/>
              <w:jc w:val="left"/>
            </w:pPr>
            <w:r>
              <w:t xml:space="preserve">225,000.00</w:t>
            </w:r>
          </w:p>
        </w:tc>
      </w:tr>
      <w:tr>
        <w:tc>
          <w:tcPr/>
          <w:p>
            <w:pPr>
              <w:pStyle w:val="Compact"/>
              <w:jc w:val="left"/>
            </w:pPr>
            <w:r>
              <w:t xml:space="preserve">07</w:t>
            </w:r>
          </w:p>
        </w:tc>
        <w:tc>
          <w:tcPr/>
          <w:p>
            <w:pPr>
              <w:pStyle w:val="Compact"/>
              <w:jc w:val="left"/>
            </w:pPr>
            <w:r>
              <w:t xml:space="preserve">Personal Protective Equipment (PPE) — Nitrile gloves, lab coats, safety goggles, and face shields for the Medical Researcher and 15 laboratory technicians</w:t>
            </w:r>
          </w:p>
        </w:tc>
        <w:tc>
          <w:tcPr/>
          <w:p>
            <w:pPr>
              <w:pStyle w:val="Compact"/>
              <w:jc w:val="left"/>
            </w:pPr>
            <w:r>
              <w:t xml:space="preserve">16</w:t>
            </w:r>
          </w:p>
        </w:tc>
        <w:tc>
          <w:tcPr/>
          <w:p>
            <w:pPr>
              <w:pStyle w:val="Compact"/>
              <w:jc w:val="left"/>
            </w:pPr>
            <w:r>
              <w:t xml:space="preserve">Sets</w:t>
            </w:r>
          </w:p>
        </w:tc>
        <w:tc>
          <w:tcPr/>
          <w:p>
            <w:pPr>
              <w:pStyle w:val="Compact"/>
              <w:jc w:val="left"/>
            </w:pPr>
            <w:r>
              <w:t xml:space="preserve">4,200.00</w:t>
            </w:r>
          </w:p>
        </w:tc>
        <w:tc>
          <w:tcPr/>
          <w:p>
            <w:pPr>
              <w:pStyle w:val="Compact"/>
              <w:jc w:val="left"/>
            </w:pPr>
            <w:r>
              <w:t xml:space="preserve">67,200.00</w:t>
            </w:r>
          </w:p>
        </w:tc>
      </w:tr>
      <w:tr>
        <w:tc>
          <w:tcPr/>
          <w:p>
            <w:pPr>
              <w:pStyle w:val="Compact"/>
              <w:jc w:val="left"/>
            </w:pPr>
            <w:r>
              <w:t xml:space="preserve">08</w:t>
            </w:r>
          </w:p>
        </w:tc>
        <w:tc>
          <w:tcPr/>
          <w:p>
            <w:pPr>
              <w:pStyle w:val="Compact"/>
              <w:jc w:val="left"/>
            </w:pPr>
            <w:r>
              <w:t xml:space="preserve">Gas Chromatography-Mass Spectrometry (GC-MS) Column Set and calibration standards for toxicology research</w:t>
            </w:r>
          </w:p>
        </w:tc>
        <w:tc>
          <w:tcPr/>
          <w:p>
            <w:pPr>
              <w:pStyle w:val="Compact"/>
              <w:jc w:val="left"/>
            </w:pPr>
            <w:r>
              <w:t xml:space="preserve">1</w:t>
            </w:r>
          </w:p>
        </w:tc>
        <w:tc>
          <w:tcPr/>
          <w:p>
            <w:pPr>
              <w:pStyle w:val="Compact"/>
              <w:jc w:val="left"/>
            </w:pPr>
            <w:r>
              <w:t xml:space="preserve">Lot</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09</w:t>
            </w:r>
          </w:p>
        </w:tc>
        <w:tc>
          <w:tcPr/>
          <w:p>
            <w:pPr>
              <w:pStyle w:val="Compact"/>
              <w:jc w:val="left"/>
            </w:pPr>
            <w:r>
              <w:t xml:space="preserve">Installation, calibration, and operator training services for all capital equipment listed above, to be performed on-site in Mexico City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10</w:t>
            </w:r>
          </w:p>
        </w:tc>
        <w:tc>
          <w:tcPr/>
          <w:p>
            <w:pPr>
              <w:pStyle w:val="Compact"/>
              <w:jc w:val="left"/>
            </w:pPr>
            <w:r>
              <w:t xml:space="preserve">Annual preventive maintenance contract (3-year term) covering all capital equipment, with 24-hour response time within Mexico City metro area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310,000.00</w:t>
            </w:r>
          </w:p>
        </w:tc>
        <w:tc>
          <w:tcPr/>
          <w:p>
            <w:pPr>
              <w:pStyle w:val="Compact"/>
              <w:jc w:val="left"/>
            </w:pPr>
            <w:r>
              <w:t xml:space="preserve">310,000.00</w:t>
            </w:r>
          </w:p>
        </w:tc>
      </w:tr>
    </w:tbl>
    <w:bookmarkEnd w:id="22"/>
    <w:bookmarkStart w:id="23" w:name="financial-summary"/>
    <w:p>
      <w:pPr>
        <w:pStyle w:val="Heading2"/>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3,246,200.00 MXN</w:t>
            </w:r>
          </w:p>
        </w:tc>
      </w:tr>
      <w:tr>
        <w:tc>
          <w:tcPr/>
          <w:p>
            <w:pPr>
              <w:pStyle w:val="Compact"/>
              <w:jc w:val="left"/>
            </w:pPr>
            <w:r>
              <w:t xml:space="preserve">IVA (16% Value Added Tax — Mexico)</w:t>
            </w:r>
          </w:p>
        </w:tc>
        <w:tc>
          <w:tcPr/>
          <w:p>
            <w:pPr>
              <w:pStyle w:val="Compact"/>
              <w:jc w:val="right"/>
            </w:pPr>
            <w:r>
              <w:t xml:space="preserve">519,392.00 MXN</w:t>
            </w:r>
          </w:p>
        </w:tc>
      </w:tr>
      <w:tr>
        <w:tc>
          <w:tcPr/>
          <w:p>
            <w:pPr>
              <w:pStyle w:val="Compact"/>
              <w:jc w:val="left"/>
            </w:pPr>
            <w:r>
              <w:t xml:space="preserve">Shipping and Handling (Mexico City, DDP)</w:t>
            </w:r>
          </w:p>
        </w:tc>
        <w:tc>
          <w:tcPr/>
          <w:p>
            <w:pPr>
              <w:pStyle w:val="Compact"/>
              <w:jc w:val="right"/>
            </w:pPr>
            <w:r>
              <w:t xml:space="preserve">38,500.00 MXN</w:t>
            </w:r>
          </w:p>
        </w:tc>
      </w:tr>
      <w:tr>
        <w:tc>
          <w:tcPr/>
          <w:p>
            <w:pPr>
              <w:pStyle w:val="Compact"/>
              <w:jc w:val="left"/>
            </w:pPr>
            <w:r>
              <w:t xml:space="preserve">TOTAL AMOUNT DUE</w:t>
            </w:r>
          </w:p>
        </w:tc>
        <w:tc>
          <w:tcPr/>
          <w:p>
            <w:pPr>
              <w:pStyle w:val="Compact"/>
              <w:jc w:val="right"/>
            </w:pPr>
            <w:r>
              <w:t xml:space="preserve">3,804,092.00 MXN</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the Instituto de Investigaciones Biomédicas, UNAM, for the procurement of laboratory equipment, reagents, and professional services to support the ongoing work of the Medical Researcher and the associated clinical research team based in Mexico, Mexico City.</w:t>
      </w:r>
    </w:p>
    <w:p>
      <w:pPr>
        <w:numPr>
          <w:ilvl w:val="0"/>
          <w:numId w:val="1001"/>
        </w:numPr>
        <w:pStyle w:val="Compact"/>
      </w:pPr>
      <w:r>
        <w:t xml:space="preserve">All equipment must comply with the regulatory standards established by the Comisión Federal para la Protección contra Riesgos Sanitarios (COFEPRIS) and the Norma Oficial Mexicana (NOM) applicable to medical and laboratory devices in Mexico.</w:t>
      </w:r>
    </w:p>
    <w:p>
      <w:pPr>
        <w:numPr>
          <w:ilvl w:val="0"/>
          <w:numId w:val="1001"/>
        </w:numPr>
        <w:pStyle w:val="Compact"/>
      </w:pPr>
      <w:r>
        <w:t xml:space="preserve">The supplier shall deliver all items to the designated laboratory facility in Mexico City, Coyoacán, no later than July 25, 2025. Delivery shall be made between 08:00 and 16:00 hours, Monday through Friday, in accordance with local labor regulations in Mexico City.</w:t>
      </w:r>
    </w:p>
    <w:p>
      <w:pPr>
        <w:numPr>
          <w:ilvl w:val="0"/>
          <w:numId w:val="1001"/>
        </w:numPr>
        <w:pStyle w:val="Compact"/>
      </w:pPr>
      <w:r>
        <w:t xml:space="preserve">Installation and calibration of all capital equipment shall be completed within ten (10) business days of physical delivery. The Medical Researcher and two senior laboratory technicians shall be present during installation for acceptance testing and initial training.</w:t>
      </w:r>
    </w:p>
    <w:p>
      <w:pPr>
        <w:numPr>
          <w:ilvl w:val="0"/>
          <w:numId w:val="1001"/>
        </w:numPr>
        <w:pStyle w:val="Compact"/>
      </w:pPr>
      <w:r>
        <w:t xml:space="preserve">Payment shall be made via bank transfer (SPEI) to the supplier's designated account in Mexican Pesos within forty-five (45) calendar days of receipt of a valid invoice (factura) that includes the supplier's RFC, the buyer's RFC, and all applicable tax breakdowns as required by the Servicio de Administración Tributaria (SAT) of Mexico.</w:t>
      </w:r>
    </w:p>
    <w:p>
      <w:pPr>
        <w:numPr>
          <w:ilvl w:val="0"/>
          <w:numId w:val="1001"/>
        </w:numPr>
        <w:pStyle w:val="Compact"/>
      </w:pPr>
      <w:r>
        <w:t xml:space="preserve">The supplier warrants that all equipment is new, unused, and free from defects in materials and workmanship for a period of twenty-four (24) months from the date of acceptance in Mexico City.</w:t>
      </w:r>
    </w:p>
    <w:p>
      <w:pPr>
        <w:numPr>
          <w:ilvl w:val="0"/>
          <w:numId w:val="1001"/>
        </w:numPr>
        <w:pStyle w:val="Compact"/>
      </w:pPr>
      <w:r>
        <w:t xml:space="preserve">Any delay in delivery beyond the specified date shall incur a penalty of 0.5% of the total Purchase Order value per calendar day of delay, up to a maximum of 10% of the total value.</w:t>
      </w:r>
    </w:p>
    <w:p>
      <w:pPr>
        <w:numPr>
          <w:ilvl w:val="0"/>
          <w:numId w:val="1001"/>
        </w:numPr>
        <w:pStyle w:val="Compact"/>
      </w:pPr>
      <w:r>
        <w:t xml:space="preserve">This Purchase Order is governed by the commercial laws of the United Mexican States. Any disputes arising from this Purchase Order shall be resolved through arbitration in Mexico City, in accordance with the rules of the Cámara de Comercio de México.</w:t>
      </w:r>
    </w:p>
    <w:p>
      <w:pPr>
        <w:numPr>
          <w:ilvl w:val="0"/>
          <w:numId w:val="1001"/>
        </w:numPr>
        <w:pStyle w:val="Compact"/>
      </w:pPr>
      <w:r>
        <w:t xml:space="preserve">The supplier acknowledges that the equipment procured under this Purchase Order will be used exclusively for academic medical research purposes by the Medical Researcher and the research team at UNAM, and shall not be resold or transferred without written authorization.</w:t>
      </w:r>
    </w:p>
    <w:p>
      <w:pPr>
        <w:numPr>
          <w:ilvl w:val="0"/>
          <w:numId w:val="1001"/>
        </w:numPr>
        <w:pStyle w:val="Compact"/>
      </w:pPr>
      <w:r>
        <w:t xml:space="preserve">All documentation, user manuals, and technical specifications must be provided in both Spanish and English to facilitate use by the Medical Researcher and the international collaborators in the research program.</w:t>
      </w:r>
    </w:p>
    <w:bookmarkEnd w:id="24"/>
    <w:bookmarkStart w:id="25" w:name="authorization-and-signatures"/>
    <w:p>
      <w:pPr>
        <w:pStyle w:val="Heading2"/>
      </w:pPr>
      <w:r>
        <w:t xml:space="preserve">Authorization and Signatures</w:t>
      </w:r>
    </w:p>
    <w:p>
      <w:pPr>
        <w:pStyle w:val="FirstParagraph"/>
      </w:pPr>
      <w:r>
        <w:t xml:space="preserve">Dr. Elena Ríos Martínez</w:t>
      </w:r>
      <w:r>
        <w:br/>
      </w:r>
      <w:r>
        <w:t xml:space="preserve">Principal Investigator / Medical Researcher</w:t>
      </w:r>
      <w:r>
        <w:br/>
      </w:r>
      <w:r>
        <w:t xml:space="preserve">Instituto de Investigaciones Biomédicas, UNAM</w:t>
      </w:r>
      <w:r>
        <w:br/>
      </w:r>
      <w:r>
        <w:t xml:space="preserve">Mexico City, Mexico</w:t>
      </w:r>
      <w:r>
        <w:br/>
      </w:r>
      <w:r>
        <w:t xml:space="preserve">Date: _______________</w:t>
      </w:r>
    </w:p>
    <w:p>
      <w:pPr>
        <w:pStyle w:val="BodyText"/>
      </w:pPr>
      <w:r>
        <w:t xml:space="preserve">Lic. Carlos Vega Sánchez</w:t>
      </w:r>
      <w:r>
        <w:br/>
      </w:r>
      <w:r>
        <w:t xml:space="preserve">Sales Director</w:t>
      </w:r>
      <w:r>
        <w:br/>
      </w:r>
      <w:r>
        <w:t xml:space="preserve">BioEquip International S.A. de C.V.</w:t>
      </w:r>
      <w:r>
        <w:br/>
      </w:r>
      <w:r>
        <w:t xml:space="preserve">Mexico City, Mexico</w:t>
      </w:r>
      <w:r>
        <w:br/>
      </w:r>
      <w:r>
        <w:t xml:space="preserve">Date: _______________</w:t>
      </w:r>
    </w:p>
    <w:p>
      <w:pPr>
        <w:pStyle w:val="BodyText"/>
      </w:pPr>
      <w:r>
        <w:rPr>
          <w:bCs/>
          <w:b/>
        </w:rPr>
        <w:t xml:space="preserve">Note:</w:t>
      </w:r>
      <w:r>
        <w:t xml:space="preserve"> </w:t>
      </w:r>
      <w:r>
        <w:t xml:space="preserve">This Purchase Order (PO-MX-2025-04871) is a binding document between the parties listed above. It has been prepared in accordance with the procurement policies of the Universidad Nacional Autónoma de México and the federal regulations governing public research funding in Mexico. The Medical Researcher named herein is the authorized technical recipient of all goods and services described in this Purchase Order. All communications regarding this Purchase Order shall be directed to the addresses listed above in Mexico City, Mexico. This document is valid for a period of ninety (90) days from the date of issuance.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Mexico Mexico City</dc:title>
  <dc:creator/>
  <dc:language>en</dc:language>
  <cp:keywords/>
  <dcterms:created xsi:type="dcterms:W3CDTF">2026-10-10T04:56:42Z</dcterms:created>
  <dcterms:modified xsi:type="dcterms:W3CDTF">2026-10-10T04:56:42Z</dcterms:modified>
</cp:coreProperties>
</file>

<file path=docProps/custom.xml><?xml version="1.0" encoding="utf-8"?>
<Properties xmlns="http://schemas.openxmlformats.org/officeDocument/2006/custom-properties" xmlns:vt="http://schemas.openxmlformats.org/officeDocument/2006/docPropsVTypes"/>
</file>