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Myanmar</w:t>
      </w:r>
      <w:r>
        <w:t xml:space="preserve"> </w:t>
      </w:r>
      <w:r>
        <w:t xml:space="preserve">Yangon</w:t>
      </w:r>
    </w:p>
    <w:bookmarkStart w:id="28" w:name="purchase-order"/>
    <w:p>
      <w:pPr>
        <w:pStyle w:val="Heading1"/>
      </w:pPr>
      <w:r>
        <w:t xml:space="preserve">PURCHASE ORDER</w:t>
      </w:r>
    </w:p>
    <w:p>
      <w:pPr>
        <w:pStyle w:val="FirstParagraph"/>
      </w:pPr>
      <w:r>
        <w:rPr>
          <w:bCs/>
          <w:b/>
        </w:rPr>
        <w:t xml:space="preserve">Yangon Biomedical Research Institute</w:t>
      </w:r>
      <w:r>
        <w:br/>
      </w:r>
      <w:r>
        <w:t xml:space="preserve">No. 42, 27th Street, Kyauktada Township</w:t>
      </w:r>
      <w:r>
        <w:br/>
      </w:r>
      <w:r>
        <w:t xml:space="preserve">Yangon, Myanmar 11181</w:t>
      </w:r>
      <w:r>
        <w:br/>
      </w:r>
      <w:r>
        <w:t xml:space="preserve">Tel: +95-1-234-5678</w:t>
      </w:r>
      <w:r>
        <w:br/>
      </w:r>
      <w:r>
        <w:t xml:space="preserve">Email: procurement@ybrin.gov.mm</w:t>
      </w:r>
    </w:p>
    <w:p>
      <w:pPr>
        <w:pStyle w:val="BodyText"/>
      </w:pPr>
      <w:r>
        <w:rPr>
          <w:bCs/>
          <w:b/>
        </w:rPr>
        <w:t xml:space="preserve">Purchase Order No.:</w:t>
      </w:r>
      <w:r>
        <w:t xml:space="preserve"> </w:t>
      </w:r>
      <w:r>
        <w:t xml:space="preserve">YBRIN-PO-2025-0347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Payment Terms:</w:t>
      </w:r>
      <w:r>
        <w:t xml:space="preserve"> </w:t>
      </w:r>
      <w:r>
        <w:t xml:space="preserve">Net 45 Days</w:t>
      </w:r>
    </w:p>
    <w:bookmarkStart w:id="20" w:name="buyer-information"/>
    <w:p>
      <w:pPr>
        <w:pStyle w:val="Heading2"/>
      </w:pPr>
      <w:r>
        <w:t xml:space="preserve">1. Buyer Information</w:t>
      </w:r>
    </w:p>
    <w:p>
      <w:pPr>
        <w:pStyle w:val="FirstParagraph"/>
      </w:pPr>
      <w:r>
        <w:rPr>
          <w:bCs/>
          <w:b/>
        </w:rPr>
        <w:t xml:space="preserve">Organization:</w:t>
      </w:r>
      <w:r>
        <w:t xml:space="preserve"> </w:t>
      </w:r>
      <w:r>
        <w:t xml:space="preserve">Yangon Biomedical Research Institute (YBRIN)</w:t>
      </w:r>
      <w:r>
        <w:br/>
      </w:r>
      <w:r>
        <w:rPr>
          <w:bCs/>
          <w:b/>
        </w:rPr>
        <w:t xml:space="preserve">Department:</w:t>
      </w:r>
      <w:r>
        <w:t xml:space="preserve"> </w:t>
      </w:r>
      <w:r>
        <w:t xml:space="preserve">Department of Clinical and Molecular Medicine</w:t>
      </w:r>
      <w:r>
        <w:br/>
      </w:r>
      <w:r>
        <w:rPr>
          <w:bCs/>
          <w:b/>
        </w:rPr>
        <w:t xml:space="preserve">Authorized Purchasing Officer:</w:t>
      </w:r>
      <w:r>
        <w:t xml:space="preserve"> </w:t>
      </w:r>
      <w:r>
        <w:t xml:space="preserve">Dr. Aung Kyaw Min, Senior Procurement Manager</w:t>
      </w:r>
      <w:r>
        <w:br/>
      </w:r>
      <w:r>
        <w:rPr>
          <w:bCs/>
          <w:b/>
        </w:rPr>
        <w:t xml:space="preserve">Address:</w:t>
      </w:r>
      <w:r>
        <w:t xml:space="preserve"> </w:t>
      </w:r>
      <w:r>
        <w:t xml:space="preserve">No. 42, 27th Street, Kyauktada Township, Yangon, Myanmar 11181</w:t>
      </w:r>
      <w:r>
        <w:br/>
      </w:r>
      <w:r>
        <w:rPr>
          <w:bCs/>
          <w:b/>
        </w:rPr>
        <w:t xml:space="preserve">Tax Registration No.:</w:t>
      </w:r>
      <w:r>
        <w:t xml:space="preserve"> </w:t>
      </w:r>
      <w:r>
        <w:t xml:space="preserve">MM-TR-2019-884321</w:t>
      </w:r>
    </w:p>
    <w:bookmarkEnd w:id="20"/>
    <w:bookmarkStart w:id="21" w:name="seller-supplier-information"/>
    <w:p>
      <w:pPr>
        <w:pStyle w:val="Heading2"/>
      </w:pPr>
      <w:r>
        <w:t xml:space="preserve">2. Seller / Supplier Information</w:t>
      </w:r>
    </w:p>
    <w:p>
      <w:pPr>
        <w:pStyle w:val="FirstParagraph"/>
      </w:pPr>
      <w:r>
        <w:rPr>
          <w:bCs/>
          <w:b/>
        </w:rPr>
        <w:t xml:space="preserve">Supplier Name:</w:t>
      </w:r>
      <w:r>
        <w:t xml:space="preserve"> </w:t>
      </w:r>
      <w:r>
        <w:t xml:space="preserve">GlobalMed Scientific Supplies Co., Ltd.</w:t>
      </w:r>
      <w:r>
        <w:br/>
      </w:r>
      <w:r>
        <w:rPr>
          <w:bCs/>
          <w:b/>
        </w:rPr>
        <w:t xml:space="preserve">Contact Person:</w:t>
      </w:r>
      <w:r>
        <w:t xml:space="preserve"> </w:t>
      </w:r>
      <w:r>
        <w:t xml:space="preserve">Ms. Sarah Tan, Regional Sales Director – Southeast Asia</w:t>
      </w:r>
      <w:r>
        <w:br/>
      </w:r>
      <w:r>
        <w:rPr>
          <w:bCs/>
          <w:b/>
        </w:rPr>
        <w:t xml:space="preserve">Address:</w:t>
      </w:r>
      <w:r>
        <w:t xml:space="preserve"> </w:t>
      </w:r>
      <w:r>
        <w:t xml:space="preserve">88 Raffles Place, #12-01, Singapore 048622</w:t>
      </w:r>
      <w:r>
        <w:br/>
      </w:r>
      <w:r>
        <w:rPr>
          <w:bCs/>
          <w:b/>
        </w:rPr>
        <w:t xml:space="preserve">Tel:</w:t>
      </w:r>
      <w:r>
        <w:t xml:space="preserve"> </w:t>
      </w:r>
      <w:r>
        <w:t xml:space="preserve">+65-6789-1234</w:t>
      </w:r>
      <w:r>
        <w:br/>
      </w:r>
      <w:r>
        <w:rPr>
          <w:bCs/>
          <w:b/>
        </w:rPr>
        <w:t xml:space="preserve">Email:</w:t>
      </w:r>
      <w:r>
        <w:t xml:space="preserve"> </w:t>
      </w:r>
      <w:r>
        <w:t xml:space="preserve">sales.sea@globalmedsci.com</w:t>
      </w:r>
      <w:r>
        <w:br/>
      </w:r>
      <w:r>
        <w:rPr>
          <w:bCs/>
          <w:b/>
        </w:rPr>
        <w:t xml:space="preserve">Supplier Registration No.:</w:t>
      </w:r>
      <w:r>
        <w:t xml:space="preserve"> </w:t>
      </w:r>
      <w:r>
        <w:t xml:space="preserve">SG-UST-2014-55678</w:t>
      </w:r>
    </w:p>
    <w:bookmarkEnd w:id="21"/>
    <w:bookmarkStart w:id="22" w:name="purpose-and-scope-of-this-purchase-order"/>
    <w:p>
      <w:pPr>
        <w:pStyle w:val="Heading2"/>
      </w:pPr>
      <w:r>
        <w:t xml:space="preserve">3. Purpose and Scope of This Purchase Order</w:t>
      </w:r>
    </w:p>
    <w:p>
      <w:pPr>
        <w:pStyle w:val="FirstParagraph"/>
      </w:pPr>
      <w:r>
        <w:t xml:space="preserve">This Purchase Order is issued by the Yangon Biomedical Research Institute to procure specialized laboratory equipment, reagents, and consumables required for the ongoing work of</w:t>
      </w:r>
      <w:r>
        <w:t xml:space="preserve"> </w:t>
      </w:r>
      <w:r>
        <w:rPr>
          <w:bCs/>
          <w:b/>
        </w:rPr>
        <w:t xml:space="preserve">Dr. Thiri Win Hla, Senior Medical Researcher</w:t>
      </w:r>
      <w:r>
        <w:t xml:space="preserve">, who is leading a multi-year clinical trial on dengue fever pathogenesis in the Yangon metropolitan area. The Medical Researcher, Dr. Hla, has submitted a detailed equipment and materials requisition to the Procurement Department, and this Purchase Order formalizes the acquisition of all items listed below. All goods are to be delivered to the YBRIN main laboratory facility in Kyauktada Township, Yangon, Myanmar, where the Medical Researcher conducts her primary research activities. The items specified in this Purchase Order are essential for maintaining the integrity of the Medical Researcher's experimental protocols, ensuring compliance with Myanmar's Ministry of Health laboratory safety standards, and supporting the publication of peer-reviewed findings in international medical journals.</w:t>
      </w:r>
    </w:p>
    <w:bookmarkEnd w:id="22"/>
    <w:bookmarkStart w:id="23" w:name="line-items"/>
    <w:p>
      <w:pPr>
        <w:pStyle w:val="Heading2"/>
      </w:pPr>
      <w:r>
        <w:t xml:space="preserve">4. Line Items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Real-Time PCR Thermal Cycler (96-well), calibrated for tropical pathogen detection</w:t>
            </w:r>
          </w:p>
        </w:tc>
        <w:tc>
          <w:tcPr/>
          <w:p>
            <w:pPr>
              <w:pStyle w:val="Compact"/>
              <w:jc w:val="left"/>
            </w:pPr>
            <w:r>
              <w:t xml:space="preserve">2</w:t>
            </w:r>
          </w:p>
        </w:tc>
        <w:tc>
          <w:tcPr/>
          <w:p>
            <w:pPr>
              <w:pStyle w:val="Compact"/>
              <w:jc w:val="left"/>
            </w:pPr>
            <w:r>
              <w:t xml:space="preserve">Unit</w:t>
            </w:r>
          </w:p>
        </w:tc>
        <w:tc>
          <w:tcPr/>
          <w:p>
            <w:pPr>
              <w:pStyle w:val="Compact"/>
              <w:jc w:val="left"/>
            </w:pPr>
            <w:r>
              <w:t xml:space="preserve">12,500.00</w:t>
            </w:r>
          </w:p>
        </w:tc>
        <w:tc>
          <w:tcPr/>
          <w:p>
            <w:pPr>
              <w:pStyle w:val="Compact"/>
              <w:jc w:val="left"/>
            </w:pPr>
            <w:r>
              <w:t xml:space="preserve">25,000.00</w:t>
            </w:r>
          </w:p>
        </w:tc>
      </w:tr>
      <w:tr>
        <w:tc>
          <w:tcPr/>
          <w:p>
            <w:pPr>
              <w:pStyle w:val="Compact"/>
              <w:jc w:val="left"/>
            </w:pPr>
            <w:r>
              <w:t xml:space="preserve">02</w:t>
            </w:r>
          </w:p>
        </w:tc>
        <w:tc>
          <w:tcPr/>
          <w:p>
            <w:pPr>
              <w:pStyle w:val="Compact"/>
              <w:jc w:val="left"/>
            </w:pPr>
            <w:r>
              <w:t xml:space="preserve">Biosafety Cabinet Class II A2, HEPA-filtered, for handling dengue virus samples</w:t>
            </w:r>
          </w:p>
        </w:tc>
        <w:tc>
          <w:tcPr/>
          <w:p>
            <w:pPr>
              <w:pStyle w:val="Compact"/>
              <w:jc w:val="left"/>
            </w:pPr>
            <w:r>
              <w:t xml:space="preserve">1</w:t>
            </w:r>
          </w:p>
        </w:tc>
        <w:tc>
          <w:tcPr/>
          <w:p>
            <w:pPr>
              <w:pStyle w:val="Compact"/>
              <w:jc w:val="left"/>
            </w:pPr>
            <w:r>
              <w:t xml:space="preserve">Unit</w:t>
            </w:r>
          </w:p>
        </w:tc>
        <w:tc>
          <w:tcPr/>
          <w:p>
            <w:pPr>
              <w:pStyle w:val="Compact"/>
              <w:jc w:val="left"/>
            </w:pPr>
            <w:r>
              <w:t xml:space="preserve">8,750.00</w:t>
            </w:r>
          </w:p>
        </w:tc>
        <w:tc>
          <w:tcPr/>
          <w:p>
            <w:pPr>
              <w:pStyle w:val="Compact"/>
              <w:jc w:val="left"/>
            </w:pPr>
            <w:r>
              <w:t xml:space="preserve">8,750.00</w:t>
            </w:r>
          </w:p>
        </w:tc>
      </w:tr>
      <w:tr>
        <w:tc>
          <w:tcPr/>
          <w:p>
            <w:pPr>
              <w:pStyle w:val="Compact"/>
              <w:jc w:val="left"/>
            </w:pPr>
            <w:r>
              <w:t xml:space="preserve">03</w:t>
            </w:r>
          </w:p>
        </w:tc>
        <w:tc>
          <w:tcPr/>
          <w:p>
            <w:pPr>
              <w:pStyle w:val="Compact"/>
              <w:jc w:val="left"/>
            </w:pPr>
            <w:r>
              <w:t xml:space="preserve">Refrigerated Centrifuge (15,000 RPM), 4°C capable, for plasma separation</w:t>
            </w:r>
          </w:p>
        </w:tc>
        <w:tc>
          <w:tcPr/>
          <w:p>
            <w:pPr>
              <w:pStyle w:val="Compact"/>
              <w:jc w:val="left"/>
            </w:pPr>
            <w:r>
              <w:t xml:space="preserve">2</w:t>
            </w:r>
          </w:p>
        </w:tc>
        <w:tc>
          <w:tcPr/>
          <w:p>
            <w:pPr>
              <w:pStyle w:val="Compact"/>
              <w:jc w:val="left"/>
            </w:pPr>
            <w:r>
              <w:t xml:space="preserve">Unit</w:t>
            </w:r>
          </w:p>
        </w:tc>
        <w:tc>
          <w:tcPr/>
          <w:p>
            <w:pPr>
              <w:pStyle w:val="Compact"/>
              <w:jc w:val="left"/>
            </w:pPr>
            <w:r>
              <w:t xml:space="preserve">4,200.00</w:t>
            </w:r>
          </w:p>
        </w:tc>
        <w:tc>
          <w:tcPr/>
          <w:p>
            <w:pPr>
              <w:pStyle w:val="Compact"/>
              <w:jc w:val="left"/>
            </w:pPr>
            <w:r>
              <w:t xml:space="preserve">8,400.00</w:t>
            </w:r>
          </w:p>
        </w:tc>
      </w:tr>
      <w:tr>
        <w:tc>
          <w:tcPr/>
          <w:p>
            <w:pPr>
              <w:pStyle w:val="Compact"/>
              <w:jc w:val="left"/>
            </w:pPr>
            <w:r>
              <w:t xml:space="preserve">04</w:t>
            </w:r>
          </w:p>
        </w:tc>
        <w:tc>
          <w:tcPr/>
          <w:p>
            <w:pPr>
              <w:pStyle w:val="Compact"/>
              <w:jc w:val="left"/>
            </w:pPr>
            <w:r>
              <w:t xml:space="preserve">Monoclonal Antibody Kit – Dengue NS1 Antigen (100 tests per kit)</w:t>
            </w:r>
          </w:p>
        </w:tc>
        <w:tc>
          <w:tcPr/>
          <w:p>
            <w:pPr>
              <w:pStyle w:val="Compact"/>
              <w:jc w:val="left"/>
            </w:pPr>
            <w:r>
              <w:t xml:space="preserve">20</w:t>
            </w:r>
          </w:p>
        </w:tc>
        <w:tc>
          <w:tcPr/>
          <w:p>
            <w:pPr>
              <w:pStyle w:val="Compact"/>
              <w:jc w:val="left"/>
            </w:pPr>
            <w:r>
              <w:t xml:space="preserve">Kit</w:t>
            </w:r>
          </w:p>
        </w:tc>
        <w:tc>
          <w:tcPr/>
          <w:p>
            <w:pPr>
              <w:pStyle w:val="Compact"/>
              <w:jc w:val="left"/>
            </w:pPr>
            <w:r>
              <w:t xml:space="preserve">320.00</w:t>
            </w:r>
          </w:p>
        </w:tc>
        <w:tc>
          <w:tcPr/>
          <w:p>
            <w:pPr>
              <w:pStyle w:val="Compact"/>
              <w:jc w:val="left"/>
            </w:pPr>
            <w:r>
              <w:t xml:space="preserve">6,400.00</w:t>
            </w:r>
          </w:p>
        </w:tc>
      </w:tr>
      <w:tr>
        <w:tc>
          <w:tcPr/>
          <w:p>
            <w:pPr>
              <w:pStyle w:val="Compact"/>
              <w:jc w:val="left"/>
            </w:pPr>
            <w:r>
              <w:t xml:space="preserve">05</w:t>
            </w:r>
          </w:p>
        </w:tc>
        <w:tc>
          <w:tcPr/>
          <w:p>
            <w:pPr>
              <w:pStyle w:val="Compact"/>
              <w:jc w:val="left"/>
            </w:pPr>
            <w:r>
              <w:t xml:space="preserve">RT-PCR Reagent Master Mix (500 rxn), RNase-free</w:t>
            </w:r>
          </w:p>
        </w:tc>
        <w:tc>
          <w:tcPr/>
          <w:p>
            <w:pPr>
              <w:pStyle w:val="Compact"/>
              <w:jc w:val="left"/>
            </w:pPr>
            <w:r>
              <w:t xml:space="preserve">10</w:t>
            </w:r>
          </w:p>
        </w:tc>
        <w:tc>
          <w:tcPr/>
          <w:p>
            <w:pPr>
              <w:pStyle w:val="Compact"/>
              <w:jc w:val="left"/>
            </w:pPr>
            <w:r>
              <w:t xml:space="preserve">Bottle</w:t>
            </w:r>
          </w:p>
        </w:tc>
        <w:tc>
          <w:tcPr/>
          <w:p>
            <w:pPr>
              <w:pStyle w:val="Compact"/>
              <w:jc w:val="left"/>
            </w:pPr>
            <w:r>
              <w:t xml:space="preserve">485.00</w:t>
            </w:r>
          </w:p>
        </w:tc>
        <w:tc>
          <w:tcPr/>
          <w:p>
            <w:pPr>
              <w:pStyle w:val="Compact"/>
              <w:jc w:val="left"/>
            </w:pPr>
            <w:r>
              <w:t xml:space="preserve">4,850.00</w:t>
            </w:r>
          </w:p>
        </w:tc>
      </w:tr>
      <w:tr>
        <w:tc>
          <w:tcPr/>
          <w:p>
            <w:pPr>
              <w:pStyle w:val="Compact"/>
              <w:jc w:val="left"/>
            </w:pPr>
            <w:r>
              <w:t xml:space="preserve">06</w:t>
            </w:r>
          </w:p>
        </w:tc>
        <w:tc>
          <w:tcPr/>
          <w:p>
            <w:pPr>
              <w:pStyle w:val="Compact"/>
              <w:jc w:val="left"/>
            </w:pPr>
            <w:r>
              <w:t xml:space="preserve">Disposable PCR Tubes (0.2 mL), 10,000-pack, certified for high-temperature cycling</w:t>
            </w:r>
          </w:p>
        </w:tc>
        <w:tc>
          <w:tcPr/>
          <w:p>
            <w:pPr>
              <w:pStyle w:val="Compact"/>
              <w:jc w:val="left"/>
            </w:pPr>
            <w:r>
              <w:t xml:space="preserve">5</w:t>
            </w:r>
          </w:p>
        </w:tc>
        <w:tc>
          <w:tcPr/>
          <w:p>
            <w:pPr>
              <w:pStyle w:val="Compact"/>
              <w:jc w:val="left"/>
            </w:pPr>
            <w:r>
              <w:t xml:space="preserve">Box</w:t>
            </w:r>
          </w:p>
        </w:tc>
        <w:tc>
          <w:tcPr/>
          <w:p>
            <w:pPr>
              <w:pStyle w:val="Compact"/>
              <w:jc w:val="left"/>
            </w:pPr>
            <w:r>
              <w:t xml:space="preserve">185.00</w:t>
            </w:r>
          </w:p>
        </w:tc>
        <w:tc>
          <w:tcPr/>
          <w:p>
            <w:pPr>
              <w:pStyle w:val="Compact"/>
              <w:jc w:val="left"/>
            </w:pPr>
            <w:r>
              <w:t xml:space="preserve">925.00</w:t>
            </w:r>
          </w:p>
        </w:tc>
      </w:tr>
      <w:tr>
        <w:tc>
          <w:tcPr/>
          <w:p>
            <w:pPr>
              <w:pStyle w:val="Compact"/>
              <w:jc w:val="left"/>
            </w:pPr>
            <w:r>
              <w:t xml:space="preserve">07</w:t>
            </w:r>
          </w:p>
        </w:tc>
        <w:tc>
          <w:tcPr/>
          <w:p>
            <w:pPr>
              <w:pStyle w:val="Compact"/>
              <w:jc w:val="left"/>
            </w:pPr>
            <w:r>
              <w:t xml:space="preserve">Autoclavable Nitrile Gloves (Size M/L), 100-pair boxes</w:t>
            </w:r>
          </w:p>
        </w:tc>
        <w:tc>
          <w:tcPr/>
          <w:p>
            <w:pPr>
              <w:pStyle w:val="Compact"/>
              <w:jc w:val="left"/>
            </w:pPr>
            <w:r>
              <w:t xml:space="preserve">50</w:t>
            </w:r>
          </w:p>
        </w:tc>
        <w:tc>
          <w:tcPr/>
          <w:p>
            <w:pPr>
              <w:pStyle w:val="Compact"/>
              <w:jc w:val="left"/>
            </w:pPr>
            <w:r>
              <w:t xml:space="preserve">Box</w:t>
            </w:r>
          </w:p>
        </w:tc>
        <w:tc>
          <w:tcPr/>
          <w:p>
            <w:pPr>
              <w:pStyle w:val="Compact"/>
              <w:jc w:val="left"/>
            </w:pPr>
            <w:r>
              <w:t xml:space="preserve">12.50</w:t>
            </w:r>
          </w:p>
        </w:tc>
        <w:tc>
          <w:tcPr/>
          <w:p>
            <w:pPr>
              <w:pStyle w:val="Compact"/>
              <w:jc w:val="left"/>
            </w:pPr>
            <w:r>
              <w:t xml:space="preserve">625.00</w:t>
            </w:r>
          </w:p>
        </w:tc>
      </w:tr>
      <w:tr>
        <w:tc>
          <w:tcPr/>
          <w:p>
            <w:pPr>
              <w:pStyle w:val="Compact"/>
              <w:jc w:val="left"/>
            </w:pPr>
            <w:r>
              <w:t xml:space="preserve">08</w:t>
            </w:r>
          </w:p>
        </w:tc>
        <w:tc>
          <w:tcPr/>
          <w:p>
            <w:pPr>
              <w:pStyle w:val="Compact"/>
              <w:jc w:val="left"/>
            </w:pPr>
            <w:r>
              <w:t xml:space="preserve">Lab Notebook (Spiral, A4, 200 pages), for Medical Researcher field documentation</w:t>
            </w:r>
          </w:p>
        </w:tc>
        <w:tc>
          <w:tcPr/>
          <w:p>
            <w:pPr>
              <w:pStyle w:val="Compact"/>
              <w:jc w:val="left"/>
            </w:pPr>
            <w:r>
              <w:t xml:space="preserve">12</w:t>
            </w:r>
          </w:p>
        </w:tc>
        <w:tc>
          <w:tcPr/>
          <w:p>
            <w:pPr>
              <w:pStyle w:val="Compact"/>
              <w:jc w:val="left"/>
            </w:pPr>
            <w:r>
              <w:t xml:space="preserve">Unit</w:t>
            </w:r>
          </w:p>
        </w:tc>
        <w:tc>
          <w:tcPr/>
          <w:p>
            <w:pPr>
              <w:pStyle w:val="Compact"/>
              <w:jc w:val="left"/>
            </w:pPr>
            <w:r>
              <w:t xml:space="preserve">8.00</w:t>
            </w:r>
          </w:p>
        </w:tc>
        <w:tc>
          <w:tcPr/>
          <w:p>
            <w:pPr>
              <w:pStyle w:val="Compact"/>
              <w:jc w:val="left"/>
            </w:pPr>
            <w:r>
              <w:t xml:space="preserve">96.00</w:t>
            </w:r>
          </w:p>
        </w:tc>
      </w:tr>
      <w:tr>
        <w:tc>
          <w:tcPr/>
          <w:p>
            <w:pPr>
              <w:pStyle w:val="Compact"/>
              <w:jc w:val="left"/>
            </w:pPr>
            <w:r>
              <w:t xml:space="preserve">09</w:t>
            </w:r>
          </w:p>
        </w:tc>
        <w:tc>
          <w:tcPr/>
          <w:p>
            <w:pPr>
              <w:pStyle w:val="Compact"/>
              <w:jc w:val="left"/>
            </w:pPr>
            <w:r>
              <w:t xml:space="preserve">Portable Digital Microscope (500x magnification), USB 3.0, for tissue sample analysis</w:t>
            </w:r>
          </w:p>
        </w:tc>
        <w:tc>
          <w:tcPr/>
          <w:p>
            <w:pPr>
              <w:pStyle w:val="Compact"/>
              <w:jc w:val="left"/>
            </w:pPr>
            <w:r>
              <w:t xml:space="preserve">1</w:t>
            </w:r>
          </w:p>
        </w:tc>
        <w:tc>
          <w:tcPr/>
          <w:p>
            <w:pPr>
              <w:pStyle w:val="Compact"/>
              <w:jc w:val="left"/>
            </w:pPr>
            <w:r>
              <w:t xml:space="preserve">Unit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10</w:t>
            </w:r>
          </w:p>
        </w:tc>
        <w:tc>
          <w:tcPr/>
          <w:p>
            <w:pPr>
              <w:pStyle w:val="Compact"/>
              <w:jc w:val="left"/>
            </w:pPr>
            <w:r>
              <w:t xml:space="preserve">Enzyme-Linked Immunosorbent Assay (ELISA) Plate Reader, 96-well, dual wavelength</w:t>
            </w:r>
          </w:p>
        </w:tc>
        <w:tc>
          <w:tcPr/>
          <w:p>
            <w:pPr>
              <w:pStyle w:val="Compact"/>
              <w:jc w:val="left"/>
            </w:pPr>
            <w:r>
              <w:t xml:space="preserve">1</w:t>
            </w:r>
          </w:p>
        </w:tc>
        <w:tc>
          <w:tcPr/>
          <w:p>
            <w:pPr>
              <w:pStyle w:val="Compact"/>
              <w:jc w:val="left"/>
            </w:pPr>
            <w:r>
              <w:t xml:space="preserve">Unit</w:t>
            </w:r>
          </w:p>
        </w:tc>
        <w:tc>
          <w:tcPr/>
          <w:p>
            <w:pPr>
              <w:pStyle w:val="Compact"/>
              <w:jc w:val="left"/>
            </w:pPr>
            <w:r>
              <w:t xml:space="preserve">6,800.00</w:t>
            </w:r>
          </w:p>
        </w:tc>
        <w:tc>
          <w:tcPr/>
          <w:p>
            <w:pPr>
              <w:pStyle w:val="Compact"/>
              <w:jc w:val="left"/>
            </w:pPr>
            <w:r>
              <w:t xml:space="preserve">6,800.00</w:t>
            </w:r>
          </w:p>
        </w:tc>
      </w:tr>
      <w:tr>
        <w:tc>
          <w:tcPr>
            <w:gridSpan w:val="5"/>
          </w:tcPr>
          <w:p>
            <w:pPr>
              <w:pStyle w:val="Compact"/>
              <w:jc w:val="left"/>
            </w:pPr>
            <w:r>
              <w:t xml:space="preserve">Subtotal</w:t>
            </w:r>
          </w:p>
        </w:tc>
        <w:tc>
          <w:tcPr/>
          <w:p>
            <w:pPr>
              <w:pStyle w:val="Compact"/>
              <w:jc w:val="left"/>
            </w:pPr>
            <w:r>
              <w:t xml:space="preserve">$65,046.00</w:t>
            </w:r>
          </w:p>
        </w:tc>
      </w:tr>
      <w:tr>
        <w:tc>
          <w:tcPr>
            <w:gridSpan w:val="5"/>
          </w:tcPr>
          <w:p>
            <w:pPr>
              <w:pStyle w:val="Compact"/>
              <w:jc w:val="left"/>
            </w:pPr>
            <w:r>
              <w:t xml:space="preserve">International Shipping &amp; Insurance (to Yangon, Myanmar)</w:t>
            </w:r>
          </w:p>
        </w:tc>
        <w:tc>
          <w:tcPr/>
          <w:p>
            <w:pPr>
              <w:pStyle w:val="Compact"/>
              <w:jc w:val="left"/>
            </w:pPr>
            <w:r>
              <w:t xml:space="preserve">$3,252.30</w:t>
            </w:r>
          </w:p>
        </w:tc>
      </w:tr>
      <w:tr>
        <w:tc>
          <w:tcPr>
            <w:gridSpan w:val="5"/>
          </w:tcPr>
          <w:p>
            <w:pPr>
              <w:pStyle w:val="Compact"/>
              <w:jc w:val="left"/>
            </w:pPr>
            <w:r>
              <w:t xml:space="preserve">Myanmar Customs Duty &amp; Import Tax (estimated 10%)</w:t>
            </w:r>
          </w:p>
        </w:tc>
        <w:tc>
          <w:tcPr/>
          <w:p>
            <w:pPr>
              <w:pStyle w:val="Compact"/>
              <w:jc w:val="left"/>
            </w:pPr>
            <w:r>
              <w:t xml:space="preserve">$6,829.83</w:t>
            </w:r>
          </w:p>
        </w:tc>
      </w:tr>
      <w:tr>
        <w:tc>
          <w:tcPr>
            <w:gridSpan w:val="5"/>
          </w:tcPr>
          <w:p>
            <w:pPr>
              <w:pStyle w:val="Compact"/>
              <w:jc w:val="left"/>
            </w:pPr>
            <w:r>
              <w:t xml:space="preserve">TOTAL AMOUNT DUE (USD)</w:t>
            </w:r>
          </w:p>
        </w:tc>
        <w:tc>
          <w:tcPr/>
          <w:p>
            <w:pPr>
              <w:pStyle w:val="Compact"/>
              <w:jc w:val="left"/>
            </w:pPr>
            <w:r>
              <w:t xml:space="preserve">$75,128.13</w:t>
            </w:r>
          </w:p>
        </w:tc>
      </w:tr>
    </w:tbl>
    <w:bookmarkEnd w:id="23"/>
    <w:bookmarkStart w:id="24" w:name="delivery-and-logistics"/>
    <w:p>
      <w:pPr>
        <w:pStyle w:val="Heading2"/>
      </w:pPr>
      <w:r>
        <w:t xml:space="preserve">5. Delivery and Logistics</w:t>
      </w:r>
    </w:p>
    <w:p>
      <w:pPr>
        <w:pStyle w:val="FirstParagraph"/>
      </w:pPr>
      <w:r>
        <w:t xml:space="preserve">All items listed in this Purchase Order shall be delivered to the following address in Myanmar Yangon:</w:t>
      </w:r>
    </w:p>
    <w:p>
      <w:pPr>
        <w:pStyle w:val="BodyText"/>
      </w:pPr>
      <w:r>
        <w:rPr>
          <w:bCs/>
          <w:b/>
        </w:rPr>
        <w:t xml:space="preserve">Delivery Address:</w:t>
      </w:r>
      <w:r>
        <w:t xml:space="preserve"> </w:t>
      </w:r>
      <w:r>
        <w:t xml:space="preserve">Yangon Biomedical Research Institute, Main Laboratory Building, No. 42, 27th Street, Kyauktada Township, Yangon, Myanmar 11181.</w:t>
      </w:r>
      <w:r>
        <w:br/>
      </w:r>
      <w:r>
        <w:rPr>
          <w:bCs/>
          <w:b/>
        </w:rPr>
        <w:t xml:space="preserve">Delivery Contact:</w:t>
      </w:r>
      <w:r>
        <w:t xml:space="preserve"> </w:t>
      </w:r>
      <w:r>
        <w:t xml:space="preserve">Dr. Thiri Win Hla, Senior Medical Researcher (ext. 204)</w:t>
      </w:r>
      <w:r>
        <w:br/>
      </w:r>
      <w:r>
        <w:rPr>
          <w:bCs/>
          <w:b/>
        </w:rPr>
        <w:t xml:space="preserve">Required Delivery Date:</w:t>
      </w:r>
      <w:r>
        <w:t xml:space="preserve"> </w:t>
      </w:r>
      <w:r>
        <w:t xml:space="preserve">On or before 15 August 2025</w:t>
      </w:r>
      <w:r>
        <w:br/>
      </w:r>
      <w:r>
        <w:rPr>
          <w:bCs/>
          <w:b/>
        </w:rPr>
        <w:t xml:space="preserve">Shipping Method:</w:t>
      </w:r>
      <w:r>
        <w:t xml:space="preserve"> </w:t>
      </w:r>
      <w:r>
        <w:t xml:space="preserve">Air freight via Yangon International Airport (CMB), followed by ground transport to Kyauktada Township.</w:t>
      </w:r>
    </w:p>
    <w:p>
      <w:pPr>
        <w:pStyle w:val="BodyText"/>
      </w:pPr>
      <w:r>
        <w:t xml:space="preserve">The supplier shall ensure that all temperature-sensitive reagents and biological kits are shipped in validated cold-chain packaging (2°C to 8°C) to maintain viability upon arrival in Myanmar Yangon. The Medical Researcher, Dr. Hla, will personally inspect all deliveries upon receipt and sign the delivery acknowledgment form. Any items found damaged, expired, or non-conforming to the specifications in this Purchase Order must be replaced at the supplier's sole expense within fourteen (14) calendar days.</w:t>
      </w:r>
    </w:p>
    <w:bookmarkEnd w:id="24"/>
    <w:bookmarkStart w:id="25" w:name="payment-terms-and-conditions"/>
    <w:p>
      <w:pPr>
        <w:pStyle w:val="Heading2"/>
      </w:pPr>
      <w:r>
        <w:t xml:space="preserve">6. Payment Terms and Conditions</w:t>
      </w:r>
    </w:p>
    <w:p>
      <w:pPr>
        <w:pStyle w:val="FirstParagraph"/>
      </w:pPr>
      <w:r>
        <w:t xml:space="preserve">Payment shall be made via irrevocable letter of credit issued by the Bank of Myanmar, Yangon Central Branch, within forty-five (45) calendar days of the Medical Researcher's written acceptance of all delivered goods. The total amount of this Purchase Order is</w:t>
      </w:r>
      <w:r>
        <w:t xml:space="preserve"> </w:t>
      </w:r>
      <w:r>
        <w:rPr>
          <w:bCs/>
          <w:b/>
        </w:rPr>
        <w:t xml:space="preserve">USD 75,128.13</w:t>
      </w:r>
      <w:r>
        <w:t xml:space="preserve"> </w:t>
      </w:r>
      <w:r>
        <w:t xml:space="preserve">(Seventy-Five Thousand One Hundred Twenty-Eight Dollars and Thirteen Cents). The supplier shall submit a commercial invoice, packing list, certificate of origin, and all applicable Myanmar import documentation to the YBRIN Accounts Payable department no later than ten (10) business days prior to the scheduled delivery date. Late delivery beyond the required delivery date shall incur a penalty of 0.5% of the total Purchase Order value per calendar day, capped at 5% of the total value.</w:t>
      </w:r>
    </w:p>
    <w:bookmarkEnd w:id="25"/>
    <w:bookmarkStart w:id="26" w:name="compliance-and-regulatory-notes"/>
    <w:p>
      <w:pPr>
        <w:pStyle w:val="Heading2"/>
      </w:pPr>
      <w:r>
        <w:t xml:space="preserve">7. Compliance and Regulatory Notes</w:t>
      </w:r>
    </w:p>
    <w:p>
      <w:pPr>
        <w:pStyle w:val="FirstParagraph"/>
      </w:pPr>
      <w:r>
        <w:t xml:space="preserve">All equipment and biological materials procured under this Purchase Order must comply with the regulations set forth by the Myanmar Ministry of Health, the Myanmar Food and Drug Authority (MFDA), and the Yangon City Development Committee. The Medical Researcher, Dr. Thiri Win Hla, is responsible for ensuring that all imported reagents and kits carry valid MFDA import permits prior to customs clearance at Yangon International Airport. The supplier warrants that all products are new, unused, and within their stated shelf life at the time of shipment. This Purchase Order is governed by the laws of the Republic of the Union of Myanmar, and any disputes arising from its execution shall be resolved through arbitration in Yangon, Myanmar.</w:t>
      </w:r>
    </w:p>
    <w:bookmarkEnd w:id="26"/>
    <w:bookmarkStart w:id="27" w:name="authorization-and-signatures"/>
    <w:p>
      <w:pPr>
        <w:pStyle w:val="Heading2"/>
      </w:pPr>
      <w:r>
        <w:t xml:space="preserve">8. Authorization and Signatures</w:t>
      </w:r>
    </w:p>
    <w:p>
      <w:pPr>
        <w:pStyle w:val="FirstParagraph"/>
      </w:pPr>
      <w:r>
        <w:rPr>
          <w:bCs/>
          <w:b/>
        </w:rPr>
        <w:t xml:space="preserve">Prepared by:</w:t>
      </w:r>
      <w:r>
        <w:br/>
      </w:r>
      <w:r>
        <w:br/>
      </w:r>
      <w:r>
        <w:t xml:space="preserve">______________________________</w:t>
      </w:r>
      <w:r>
        <w:br/>
      </w:r>
      <w:r>
        <w:t xml:space="preserve">Dr. Aung Kyaw Min</w:t>
      </w:r>
      <w:r>
        <w:br/>
      </w:r>
      <w:r>
        <w:t xml:space="preserve">Senior Procurement Manager</w:t>
      </w:r>
      <w:r>
        <w:br/>
      </w:r>
      <w:r>
        <w:t xml:space="preserve">Yangon Biomedical Research Institute</w:t>
      </w:r>
      <w:r>
        <w:br/>
      </w:r>
      <w:r>
        <w:t xml:space="preserve">Date: 15 June 2025</w:t>
      </w:r>
    </w:p>
    <w:p>
      <w:pPr>
        <w:pStyle w:val="BodyText"/>
      </w:pPr>
      <w:r>
        <w:rPr>
          <w:bCs/>
          <w:b/>
        </w:rPr>
        <w:t xml:space="preserve">Approved by (Medical Researcher):</w:t>
      </w:r>
      <w:r>
        <w:br/>
      </w:r>
      <w:r>
        <w:br/>
      </w:r>
      <w:r>
        <w:t xml:space="preserve">______________________________</w:t>
      </w:r>
      <w:r>
        <w:br/>
      </w:r>
      <w:r>
        <w:t xml:space="preserve">Dr. Thiri Win Hla</w:t>
      </w:r>
      <w:r>
        <w:br/>
      </w:r>
      <w:r>
        <w:t xml:space="preserve">Senior Medical Researcher</w:t>
      </w:r>
      <w:r>
        <w:br/>
      </w:r>
      <w:r>
        <w:t xml:space="preserve">Department of Clinical and Molecular Medicine</w:t>
      </w:r>
      <w:r>
        <w:br/>
      </w:r>
      <w:r>
        <w:t xml:space="preserve">Date: 15 June 2025</w:t>
      </w:r>
    </w:p>
    <w:p>
      <w:pPr>
        <w:pStyle w:val="BodyText"/>
      </w:pPr>
      <w:r>
        <w:rPr>
          <w:bCs/>
          <w:b/>
        </w:rPr>
        <w:t xml:space="preserve">Accepted by (Supplier):</w:t>
      </w:r>
      <w:r>
        <w:br/>
      </w:r>
      <w:r>
        <w:br/>
      </w:r>
      <w:r>
        <w:t xml:space="preserve">______________________________</w:t>
      </w:r>
      <w:r>
        <w:br/>
      </w:r>
      <w:r>
        <w:t xml:space="preserve">Ms. Sarah Tan</w:t>
      </w:r>
      <w:r>
        <w:br/>
      </w:r>
      <w:r>
        <w:t xml:space="preserve">Regional Sales Director – Southeast Asia</w:t>
      </w:r>
      <w:r>
        <w:br/>
      </w:r>
      <w:r>
        <w:t xml:space="preserve">GlobalMed Scientific Supplies Co., Ltd.</w:t>
      </w:r>
      <w:r>
        <w:br/>
      </w:r>
      <w:r>
        <w:t xml:space="preserve">Date: _______________</w:t>
      </w:r>
    </w:p>
    <w:p>
      <w:pPr>
        <w:pStyle w:val="BodyText"/>
      </w:pPr>
      <w:r>
        <w:rPr>
          <w:bCs/>
          <w:b/>
        </w:rPr>
        <w:t xml:space="preserve">Finance Verification:</w:t>
      </w:r>
      <w:r>
        <w:br/>
      </w:r>
      <w:r>
        <w:br/>
      </w:r>
      <w:r>
        <w:t xml:space="preserve">______________________________</w:t>
      </w:r>
      <w:r>
        <w:br/>
      </w:r>
      <w:r>
        <w:t xml:space="preserve">U. Myo Htet Aung</w:t>
      </w:r>
      <w:r>
        <w:br/>
      </w:r>
      <w:r>
        <w:t xml:space="preserve">Chief Financial Officer</w:t>
      </w:r>
      <w:r>
        <w:br/>
      </w:r>
      <w:r>
        <w:t xml:space="preserve">Yangon Biomedical Research Institute</w:t>
      </w:r>
      <w:r>
        <w:br/>
      </w:r>
      <w:r>
        <w:t xml:space="preserve">Date: _______________</w:t>
      </w:r>
    </w:p>
    <w:p>
      <w:pPr>
        <w:pStyle w:val="BodyText"/>
      </w:pPr>
      <w:r>
        <w:t xml:space="preserve">This Purchase Order document is valid only when signed by all authorized parties. Unauthorized reproduction or distribution of this Purchase Order is prohibited. Document Reference: YBRIN-PO-2025-0347 | Page 1 of 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Myanmar Yangon</dc:title>
  <dc:creator/>
  <dc:language>en</dc:language>
  <cp:keywords/>
  <dcterms:created xsi:type="dcterms:W3CDTF">2026-10-10T04:14:32Z</dcterms:created>
  <dcterms:modified xsi:type="dcterms:W3CDTF">2026-10-10T04:14:32Z</dcterms:modified>
</cp:coreProperties>
</file>

<file path=docProps/custom.xml><?xml version="1.0" encoding="utf-8"?>
<Properties xmlns="http://schemas.openxmlformats.org/officeDocument/2006/custom-properties" xmlns:vt="http://schemas.openxmlformats.org/officeDocument/2006/docPropsVTypes"/>
</file>