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Procurement of Professional Services — Medical Researcher Engagement</w:t>
      </w:r>
    </w:p>
    <w:p>
      <w:pPr>
        <w:pStyle w:val="BodyText"/>
      </w:pPr>
      <w:r>
        <w:t xml:space="preserve">Issued for use in Netherlands Amsterdam</w:t>
      </w:r>
    </w:p>
    <w:bookmarkEnd w:id="20"/>
    <w:p>
      <w:pPr>
        <w:pStyle w:val="BodyText"/>
      </w:pPr>
      <w:r>
        <w:rPr>
          <w:bCs/>
          <w:b/>
        </w:rPr>
        <w:t xml:space="preserve">Purchase Order No.:</w:t>
      </w:r>
      <w:r>
        <w:t xml:space="preserve"> </w:t>
      </w:r>
      <w:r>
        <w:t xml:space="preserve">PO-2025-AMST-04782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Amsterdam Institute for Advanced Biomedical Sciences (AIVB)</w:t>
            </w:r>
          </w:p>
        </w:tc>
        <w:tc>
          <w:tcPr/>
          <w:p>
            <w:pPr>
              <w:pStyle w:val="Compact"/>
              <w:jc w:val="left"/>
            </w:pPr>
            <w:r>
              <w:t xml:space="preserve">Science Park 105, 1098 XG Amsterdam, Netherlands</w:t>
            </w:r>
          </w:p>
        </w:tc>
      </w:tr>
      <w:tr>
        <w:tc>
          <w:tcPr/>
          <w:p>
            <w:pPr>
              <w:pStyle w:val="Compact"/>
              <w:jc w:val="left"/>
            </w:pPr>
            <w:r>
              <w:rPr>
                <w:bCs/>
                <w:b/>
              </w:rPr>
              <w:t xml:space="preserve">Seller (Service Provider)</w:t>
            </w:r>
          </w:p>
        </w:tc>
        <w:tc>
          <w:tcPr/>
          <w:p>
            <w:pPr>
              <w:pStyle w:val="Compact"/>
              <w:jc w:val="left"/>
            </w:pPr>
            <w:r>
              <w:t xml:space="preserve">Dr. Helena van der Berg, Medical Researcher</w:t>
            </w:r>
          </w:p>
        </w:tc>
        <w:tc>
          <w:tcPr/>
          <w:p>
            <w:pPr>
              <w:pStyle w:val="Compact"/>
              <w:jc w:val="left"/>
            </w:pPr>
            <w:r>
              <w:t xml:space="preserve">Keizersgracht 214, 1016 DS Amsterdam, Netherlands</w:t>
            </w:r>
          </w:p>
        </w:tc>
      </w:tr>
      <w:tr>
        <w:tc>
          <w:tcPr/>
          <w:p>
            <w:pPr>
              <w:pStyle w:val="Compact"/>
              <w:jc w:val="left"/>
            </w:pPr>
            <w:r>
              <w:rPr>
                <w:bCs/>
                <w:b/>
              </w:rPr>
              <w:t xml:space="preserve">Point of Contact</w:t>
            </w:r>
          </w:p>
        </w:tc>
        <w:tc>
          <w:tcPr/>
          <w:p>
            <w:pPr>
              <w:pStyle w:val="Compact"/>
              <w:jc w:val="left"/>
            </w:pPr>
            <w:r>
              <w:t xml:space="preserve">Mr. Jeroen de Vries, Procurement Director</w:t>
            </w:r>
          </w:p>
        </w:tc>
        <w:tc>
          <w:tcPr/>
          <w:p>
            <w:pPr>
              <w:pStyle w:val="Compact"/>
              <w:jc w:val="left"/>
            </w:pPr>
            <w:r>
              <w:t xml:space="preserve">Science Park 105, 1098 XG Amsterdam, Netherlands</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Amsterdam Institute for Advanced Biomedical Sciences (AIVB) to formally engage the services of a qualified</w:t>
      </w:r>
      <w:r>
        <w:t xml:space="preserve"> </w:t>
      </w:r>
      <w:r>
        <w:t xml:space="preserve">Medical Researcher</w:t>
      </w:r>
      <w:r>
        <w:t xml:space="preserve"> </w:t>
      </w:r>
      <w:r>
        <w:t xml:space="preserve">for a defined period of professional research activity conducted within the jurisdiction of</w:t>
      </w:r>
      <w:r>
        <w:t xml:space="preserve"> </w:t>
      </w:r>
      <w:r>
        <w:t xml:space="preserve">Netherlands Amsterdam</w:t>
      </w:r>
      <w:r>
        <w:t xml:space="preserve">. The scope of this engagement encompasses the design, execution, and documentation of clinical and translational research protocols in the field of cardiovascular genomics. The Medical Researcher shall operate under the institutional oversight of AIVB and shall comply with all applicable Dutch and European Union regulations governing medical research, including the Dutch Medical Research Involving Human Subjects Act (WMO) and the European Clinical Trials Regulation (EU) No 536/2014.</w:t>
      </w:r>
    </w:p>
    <w:p>
      <w:pPr>
        <w:pStyle w:val="BodyText"/>
      </w:pPr>
      <w:r>
        <w:t xml:space="preserve">This Purchase Order constitutes the binding financial and operational framework under which the Medical Researcher shall deliver the specified research services. All deliverables, milestones, and compensation structures outlined herein are subject to the terms and conditions set forth in Section 6 of this document.</w:t>
      </w:r>
    </w:p>
    <w:bookmarkEnd w:id="22"/>
    <w:bookmarkStart w:id="23"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Design and submission of a cardiovascular genomics research protocol for ethical review at the Amsterdam Medical Centre (AMC) Institutional Review Board</w:t>
            </w:r>
          </w:p>
        </w:tc>
        <w:tc>
          <w:tcPr/>
          <w:p>
            <w:pPr>
              <w:pStyle w:val="Compact"/>
              <w:jc w:val="left"/>
            </w:pPr>
            <w:r>
              <w:t xml:space="preserve">1</w:t>
            </w:r>
          </w:p>
        </w:tc>
        <w:tc>
          <w:tcPr/>
          <w:p>
            <w:pPr>
              <w:pStyle w:val="Compact"/>
              <w:jc w:val="left"/>
            </w:pPr>
            <w:r>
              <w:t xml:space="preserve">Protocol</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Recruitment and screening of 200 human subjects for the cardiovascular genomics cohort study conducted in Netherlands Amsterdam</w:t>
            </w:r>
          </w:p>
        </w:tc>
        <w:tc>
          <w:tcPr/>
          <w:p>
            <w:pPr>
              <w:pStyle w:val="Compact"/>
              <w:jc w:val="left"/>
            </w:pPr>
            <w:r>
              <w:t xml:space="preserve">200</w:t>
            </w:r>
          </w:p>
        </w:tc>
        <w:tc>
          <w:tcPr/>
          <w:p>
            <w:pPr>
              <w:pStyle w:val="Compact"/>
              <w:jc w:val="left"/>
            </w:pPr>
            <w:r>
              <w:t xml:space="preserve">Subjects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Collection, processing, and genomic sequencing of biological samples (blood and tissue) in accordance with Dutch data protection law (UAVG/GDPR)</w:t>
            </w:r>
          </w:p>
        </w:tc>
        <w:tc>
          <w:tcPr/>
          <w:p>
            <w:pPr>
              <w:pStyle w:val="Compact"/>
              <w:jc w:val="left"/>
            </w:pPr>
            <w:r>
              <w:t xml:space="preserve">200</w:t>
            </w:r>
          </w:p>
        </w:tc>
        <w:tc>
          <w:tcPr/>
          <w:p>
            <w:pPr>
              <w:pStyle w:val="Compact"/>
              <w:jc w:val="left"/>
            </w:pPr>
            <w:r>
              <w:t xml:space="preserve">Samples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04</w:t>
            </w:r>
          </w:p>
        </w:tc>
        <w:tc>
          <w:tcPr/>
          <w:p>
            <w:pPr>
              <w:pStyle w:val="Compact"/>
              <w:jc w:val="left"/>
            </w:pPr>
            <w:r>
              <w:t xml:space="preserve">Statistical analysis and bioinformatic interpretation of genomic data sets, including variant calling and pathway analysis</w:t>
            </w:r>
          </w:p>
        </w:tc>
        <w:tc>
          <w:tcPr/>
          <w:p>
            <w:pPr>
              <w:pStyle w:val="Compact"/>
              <w:jc w:val="left"/>
            </w:pPr>
            <w:r>
              <w:t xml:space="preserve">1</w:t>
            </w:r>
          </w:p>
        </w:tc>
        <w:tc>
          <w:tcPr/>
          <w:p>
            <w:pPr>
              <w:pStyle w:val="Compact"/>
              <w:jc w:val="left"/>
            </w:pPr>
            <w:r>
              <w:t xml:space="preserve">Analysis 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Preparation of a peer-reviewed manuscript for submission to a Q1 biomedical journal, including all supplementary materials</w:t>
            </w:r>
          </w:p>
        </w:tc>
        <w:tc>
          <w:tcPr/>
          <w:p>
            <w:pPr>
              <w:pStyle w:val="Compact"/>
              <w:jc w:val="left"/>
            </w:pPr>
            <w:r>
              <w:t xml:space="preserve">1</w:t>
            </w:r>
          </w:p>
        </w:tc>
        <w:tc>
          <w:tcPr/>
          <w:p>
            <w:pPr>
              <w:pStyle w:val="Compact"/>
              <w:jc w:val="left"/>
            </w:pPr>
            <w:r>
              <w:t xml:space="preserve">Manuscript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Monthly progress reporting and attendance at AIVB research governance meetings held in Amsterdam, Netherlands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07</w:t>
            </w:r>
          </w:p>
        </w:tc>
        <w:tc>
          <w:tcPr/>
          <w:p>
            <w:pPr>
              <w:pStyle w:val="Compact"/>
              <w:jc w:val="left"/>
            </w:pPr>
            <w:r>
              <w:t xml:space="preserve">Provision of a comprehensive final research report with data archiving and transfer to AIVB institutional repositories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right"/>
            </w:pPr>
            <w:r>
              <w:t xml:space="preserve">SUBTOTAL</w:t>
            </w:r>
          </w:p>
        </w:tc>
        <w:tc>
          <w:tcPr/>
          <w:p>
            <w:pPr>
              <w:pStyle w:val="Compact"/>
              <w:jc w:val="left"/>
            </w:pPr>
            <w:r>
              <w:t xml:space="preserve">165,200.00</w:t>
            </w:r>
          </w:p>
        </w:tc>
      </w:tr>
      <w:tr>
        <w:tc>
          <w:tcPr>
            <w:gridSpan w:val="5"/>
          </w:tcPr>
          <w:p>
            <w:pPr>
              <w:pStyle w:val="Compact"/>
              <w:jc w:val="right"/>
            </w:pPr>
            <w:r>
              <w:t xml:space="preserve">VAT (21% — Netherlands Standard Rate)</w:t>
            </w:r>
          </w:p>
        </w:tc>
        <w:tc>
          <w:tcPr/>
          <w:p>
            <w:pPr>
              <w:pStyle w:val="Compact"/>
              <w:jc w:val="left"/>
            </w:pPr>
            <w:r>
              <w:t xml:space="preserve">34,692.00</w:t>
            </w:r>
          </w:p>
        </w:tc>
      </w:tr>
      <w:tr>
        <w:tc>
          <w:tcPr>
            <w:gridSpan w:val="5"/>
          </w:tcPr>
          <w:p>
            <w:pPr>
              <w:pStyle w:val="Compact"/>
              <w:jc w:val="right"/>
            </w:pPr>
            <w:r>
              <w:t xml:space="preserve">GRAND TOTAL (EUR)</w:t>
            </w:r>
          </w:p>
        </w:tc>
        <w:tc>
          <w:tcPr/>
          <w:p>
            <w:pPr>
              <w:pStyle w:val="Compact"/>
              <w:jc w:val="left"/>
            </w:pPr>
            <w:r>
              <w:t xml:space="preserve">199,892.00</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Approved research protocol submitted to AMC IRB</w:t>
            </w:r>
          </w:p>
        </w:tc>
        <w:tc>
          <w:tcPr/>
          <w:p>
            <w:pPr>
              <w:pStyle w:val="Compact"/>
              <w:jc w:val="left"/>
            </w:pPr>
            <w:r>
              <w:t xml:space="preserve">31 July 2025</w:t>
            </w:r>
          </w:p>
        </w:tc>
        <w:tc>
          <w:tcPr/>
          <w:p>
            <w:pPr>
              <w:pStyle w:val="Compact"/>
              <w:jc w:val="left"/>
            </w:pPr>
            <w:r>
              <w:t xml:space="preserve">Amsterdam, Netherlands</w:t>
            </w:r>
          </w:p>
        </w:tc>
      </w:tr>
      <w:tr>
        <w:tc>
          <w:tcPr/>
          <w:p>
            <w:pPr>
              <w:pStyle w:val="Compact"/>
              <w:jc w:val="left"/>
            </w:pPr>
            <w:r>
              <w:t xml:space="preserve">M2</w:t>
            </w:r>
          </w:p>
        </w:tc>
        <w:tc>
          <w:tcPr/>
          <w:p>
            <w:pPr>
              <w:pStyle w:val="Compact"/>
              <w:jc w:val="left"/>
            </w:pPr>
            <w:r>
              <w:t xml:space="preserve">Completion of subject recruitment (200 participants)</w:t>
            </w:r>
          </w:p>
        </w:tc>
        <w:tc>
          <w:tcPr/>
          <w:p>
            <w:pPr>
              <w:pStyle w:val="Compact"/>
              <w:jc w:val="left"/>
            </w:pPr>
            <w:r>
              <w:t xml:space="preserve">30 November 2025</w:t>
            </w:r>
          </w:p>
        </w:tc>
        <w:tc>
          <w:tcPr/>
          <w:p>
            <w:pPr>
              <w:pStyle w:val="Compact"/>
              <w:jc w:val="left"/>
            </w:pPr>
            <w:r>
              <w:t xml:space="preserve">Amsterdam, Netherlands</w:t>
            </w:r>
          </w:p>
        </w:tc>
      </w:tr>
      <w:tr>
        <w:tc>
          <w:tcPr/>
          <w:p>
            <w:pPr>
              <w:pStyle w:val="Compact"/>
              <w:jc w:val="left"/>
            </w:pPr>
            <w:r>
              <w:t xml:space="preserve">M3</w:t>
            </w:r>
          </w:p>
        </w:tc>
        <w:tc>
          <w:tcPr/>
          <w:p>
            <w:pPr>
              <w:pStyle w:val="Compact"/>
              <w:jc w:val="left"/>
            </w:pPr>
            <w:r>
              <w:t xml:space="preserve">Completion of genomic sequencing and data processing</w:t>
            </w:r>
          </w:p>
        </w:tc>
        <w:tc>
          <w:tcPr/>
          <w:p>
            <w:pPr>
              <w:pStyle w:val="Compact"/>
              <w:jc w:val="left"/>
            </w:pPr>
            <w:r>
              <w:t xml:space="preserve">28 February 2026</w:t>
            </w:r>
          </w:p>
        </w:tc>
        <w:tc>
          <w:tcPr/>
          <w:p>
            <w:pPr>
              <w:pStyle w:val="Compact"/>
              <w:jc w:val="left"/>
            </w:pPr>
            <w:r>
              <w:t xml:space="preserve">Amsterdam, Netherlands</w:t>
            </w:r>
          </w:p>
        </w:tc>
      </w:tr>
      <w:tr>
        <w:tc>
          <w:tcPr/>
          <w:p>
            <w:pPr>
              <w:pStyle w:val="Compact"/>
              <w:jc w:val="left"/>
            </w:pPr>
            <w:r>
              <w:t xml:space="preserve">M4</w:t>
            </w:r>
          </w:p>
        </w:tc>
        <w:tc>
          <w:tcPr/>
          <w:p>
            <w:pPr>
              <w:pStyle w:val="Compact"/>
              <w:jc w:val="left"/>
            </w:pPr>
            <w:r>
              <w:t xml:space="preserve">Submission of peer-reviewed manuscript</w:t>
            </w:r>
          </w:p>
        </w:tc>
        <w:tc>
          <w:tcPr/>
          <w:p>
            <w:pPr>
              <w:pStyle w:val="Compact"/>
              <w:jc w:val="left"/>
            </w:pPr>
            <w:r>
              <w:t xml:space="preserve">30 April 2026</w:t>
            </w:r>
          </w:p>
        </w:tc>
        <w:tc>
          <w:tcPr/>
          <w:p>
            <w:pPr>
              <w:pStyle w:val="Compact"/>
              <w:jc w:val="left"/>
            </w:pPr>
            <w:r>
              <w:t xml:space="preserve">Remote / Amsterdam, Netherlands</w:t>
            </w:r>
          </w:p>
        </w:tc>
      </w:tr>
      <w:tr>
        <w:tc>
          <w:tcPr/>
          <w:p>
            <w:pPr>
              <w:pStyle w:val="Compact"/>
              <w:jc w:val="left"/>
            </w:pPr>
            <w:r>
              <w:t xml:space="preserve">M5</w:t>
            </w:r>
          </w:p>
        </w:tc>
        <w:tc>
          <w:tcPr/>
          <w:p>
            <w:pPr>
              <w:pStyle w:val="Compact"/>
              <w:jc w:val="left"/>
            </w:pPr>
            <w:r>
              <w:t xml:space="preserve">Final research report and data archive transfer</w:t>
            </w:r>
          </w:p>
        </w:tc>
        <w:tc>
          <w:tcPr/>
          <w:p>
            <w:pPr>
              <w:pStyle w:val="Compact"/>
              <w:jc w:val="left"/>
            </w:pPr>
            <w:r>
              <w:t xml:space="preserve">31 May 2026</w:t>
            </w:r>
          </w:p>
        </w:tc>
        <w:tc>
          <w:tcPr/>
          <w:p>
            <w:pPr>
              <w:pStyle w:val="Compact"/>
              <w:jc w:val="left"/>
            </w:pPr>
            <w:r>
              <w:t xml:space="preserve">Amsterdam, Netherlands</w:t>
            </w:r>
          </w:p>
        </w:tc>
      </w:tr>
    </w:tbl>
    <w:bookmarkEnd w:id="24"/>
    <w:bookmarkStart w:id="25" w:name="payment-schedule"/>
    <w:p>
      <w:pPr>
        <w:pStyle w:val="Heading2"/>
      </w:pPr>
      <w:r>
        <w:t xml:space="preserve">5. Payment Schedule</w:t>
      </w:r>
    </w:p>
    <w:p>
      <w:pPr>
        <w:pStyle w:val="FirstParagraph"/>
      </w:pPr>
      <w:r>
        <w:t xml:space="preserve">Payment shall be made in accordance with the following milestone-based schedule. Invoices must be submitted to the AIVB Accounts Payable department in Amsterdam, Netherlands, and shall reference this Purchase Order number (PO-2025-AMST-04782) in all correspondence.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Payment Tranche</w:t>
            </w:r>
          </w:p>
        </w:tc>
        <w:tc>
          <w:tcPr/>
          <w:p>
            <w:pPr>
              <w:pStyle w:val="Compact"/>
              <w:jc w:val="left"/>
            </w:pPr>
            <w:r>
              <w:t xml:space="preserve">Trigger Event</w:t>
            </w:r>
          </w:p>
        </w:tc>
        <w:tc>
          <w:tcPr/>
          <w:p>
            <w:pPr>
              <w:pStyle w:val="Compact"/>
              <w:jc w:val="left"/>
            </w:pPr>
            <w:r>
              <w:t xml:space="preserve">Amount (EUR, excl. VAT)</w:t>
            </w:r>
          </w:p>
        </w:tc>
      </w:tr>
      <w:tr>
        <w:tc>
          <w:tcPr/>
          <w:p>
            <w:pPr>
              <w:pStyle w:val="Compact"/>
              <w:jc w:val="left"/>
            </w:pPr>
            <w:r>
              <w:t xml:space="preserve">Tranche 1 (30%)</w:t>
            </w:r>
          </w:p>
        </w:tc>
        <w:tc>
          <w:tcPr/>
          <w:p>
            <w:pPr>
              <w:pStyle w:val="Compact"/>
              <w:jc w:val="left"/>
            </w:pPr>
            <w:r>
              <w:t xml:space="preserve">Upon execution of this Purchase Order and confirmation of Medical Researcher availability</w:t>
            </w:r>
          </w:p>
        </w:tc>
        <w:tc>
          <w:tcPr/>
          <w:p>
            <w:pPr>
              <w:pStyle w:val="Compact"/>
              <w:jc w:val="left"/>
            </w:pPr>
            <w:r>
              <w:t xml:space="preserve">49,560.00</w:t>
            </w:r>
          </w:p>
        </w:tc>
      </w:tr>
      <w:tr>
        <w:tc>
          <w:tcPr/>
          <w:p>
            <w:pPr>
              <w:pStyle w:val="Compact"/>
              <w:jc w:val="left"/>
            </w:pPr>
            <w:r>
              <w:t xml:space="preserve">Tranche 2 (25%)</w:t>
            </w:r>
          </w:p>
        </w:tc>
        <w:tc>
          <w:tcPr/>
          <w:p>
            <w:pPr>
              <w:pStyle w:val="Compact"/>
              <w:jc w:val="left"/>
            </w:pPr>
            <w:r>
              <w:t xml:space="preserve">Upon completion of Milestone M2 (subject recruitment)</w:t>
            </w:r>
          </w:p>
        </w:tc>
        <w:tc>
          <w:tcPr/>
          <w:p>
            <w:pPr>
              <w:pStyle w:val="Compact"/>
              <w:jc w:val="left"/>
            </w:pPr>
            <w:r>
              <w:t xml:space="preserve">41,300.00</w:t>
            </w:r>
          </w:p>
        </w:tc>
      </w:tr>
      <w:tr>
        <w:tc>
          <w:tcPr/>
          <w:p>
            <w:pPr>
              <w:pStyle w:val="Compact"/>
              <w:jc w:val="left"/>
            </w:pPr>
            <w:r>
              <w:t xml:space="preserve">Tranche 3 (25%)</w:t>
            </w:r>
          </w:p>
        </w:tc>
        <w:tc>
          <w:tcPr/>
          <w:p>
            <w:pPr>
              <w:pStyle w:val="Compact"/>
              <w:jc w:val="left"/>
            </w:pPr>
            <w:r>
              <w:t xml:space="preserve">Upon completion of Milestone M3 (genomic sequencing)</w:t>
            </w:r>
          </w:p>
        </w:tc>
        <w:tc>
          <w:tcPr/>
          <w:p>
            <w:pPr>
              <w:pStyle w:val="Compact"/>
              <w:jc w:val="left"/>
            </w:pPr>
            <w:r>
              <w:t xml:space="preserve">41,300.00</w:t>
            </w:r>
          </w:p>
        </w:tc>
      </w:tr>
      <w:tr>
        <w:tc>
          <w:tcPr/>
          <w:p>
            <w:pPr>
              <w:pStyle w:val="Compact"/>
              <w:jc w:val="left"/>
            </w:pPr>
            <w:r>
              <w:t xml:space="preserve">Tranche 4 (20%)</w:t>
            </w:r>
          </w:p>
        </w:tc>
        <w:tc>
          <w:tcPr/>
          <w:p>
            <w:pPr>
              <w:pStyle w:val="Compact"/>
              <w:jc w:val="left"/>
            </w:pPr>
            <w:r>
              <w:t xml:space="preserve">Upon acceptance of Milestone M5 (final report and data transfer)</w:t>
            </w:r>
          </w:p>
        </w:tc>
        <w:tc>
          <w:tcPr/>
          <w:p>
            <w:pPr>
              <w:pStyle w:val="Compact"/>
              <w:jc w:val="left"/>
            </w:pPr>
            <w:r>
              <w:t xml:space="preserve">33,040.00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the Netherlands. Any disputes arising from this Purchase Order shall be subject to the exclusive jurisdiction of the District Court of Amsterdam, Netherlands.</w:t>
      </w:r>
    </w:p>
    <w:p>
      <w:pPr>
        <w:numPr>
          <w:ilvl w:val="0"/>
          <w:numId w:val="1001"/>
        </w:numPr>
        <w:pStyle w:val="Compact"/>
      </w:pPr>
      <w:r>
        <w:rPr>
          <w:bCs/>
          <w:b/>
        </w:rPr>
        <w:t xml:space="preserve">Compliance with Medical Research Regulations:</w:t>
      </w:r>
      <w:r>
        <w:t xml:space="preserve"> </w:t>
      </w:r>
      <w:r>
        <w:t xml:space="preserve">The Medical Researcher shall ensure full compliance with the Dutch Medical Research Involving Human Subjects Act (Wet medisch-onderzoek naar mensen, WMO), the Dutch Data Protection Act (UAVG), and all relevant European Union directives. The Medical Researcher shall maintain all necessary certifications and registrations with the Dutch Ministry of Health, Welfare and Sport.</w:t>
      </w:r>
    </w:p>
    <w:p>
      <w:pPr>
        <w:numPr>
          <w:ilvl w:val="0"/>
          <w:numId w:val="1001"/>
        </w:numPr>
        <w:pStyle w:val="Compact"/>
      </w:pPr>
      <w:r>
        <w:rPr>
          <w:bCs/>
          <w:b/>
        </w:rPr>
        <w:t xml:space="preserve">Intellectual Property:</w:t>
      </w:r>
      <w:r>
        <w:t xml:space="preserve"> </w:t>
      </w:r>
      <w:r>
        <w:t xml:space="preserve">All research data, findings, publications, and intellectual property generated under this Purchase Order shall be the sole property of AIVB. The Medical Researcher shall assign all rights, titles, and interests in such deliverables to AIVB upon creation.</w:t>
      </w:r>
    </w:p>
    <w:p>
      <w:pPr>
        <w:numPr>
          <w:ilvl w:val="0"/>
          <w:numId w:val="1001"/>
        </w:numPr>
        <w:pStyle w:val="Compact"/>
      </w:pPr>
      <w:r>
        <w:rPr>
          <w:bCs/>
          <w:b/>
        </w:rPr>
        <w:t xml:space="preserve">Confidentiality:</w:t>
      </w:r>
      <w:r>
        <w:t xml:space="preserve"> </w:t>
      </w:r>
      <w:r>
        <w:t xml:space="preserve">The Medical Researcher shall maintain strict confidentiality regarding all proprietary data, patient information, and unpublished research findings. This obligation shall survive the termination of this Purchase Order for a period of five (5) years.</w:t>
      </w:r>
    </w:p>
    <w:p>
      <w:pPr>
        <w:numPr>
          <w:ilvl w:val="0"/>
          <w:numId w:val="1001"/>
        </w:numPr>
        <w:pStyle w:val="Compact"/>
      </w:pPr>
      <w:r>
        <w:rPr>
          <w:bCs/>
          <w:b/>
        </w:rPr>
        <w:t xml:space="preserve">Insurance and Liability:</w:t>
      </w:r>
      <w:r>
        <w:t xml:space="preserve"> </w:t>
      </w:r>
      <w:r>
        <w:t xml:space="preserve">The Medical Researcher shall maintain professional liability insurance with a minimum coverage of EUR 2,000,000 per claim, valid throughout the duration of the engagement in Netherlands Amsterdam. A certificate of insurance shall be provided prior to the commencement of work.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AIVB shall pay for all services rendered up to the date of termination. In the event of termination for cause (material breach), the terminating party shall be entitled to claim damages in accordance with Dutch contract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pandemics, government-imposed restrictions in the Netherlands, or acts of war.</w:t>
      </w:r>
    </w:p>
    <w:p>
      <w:pPr>
        <w:numPr>
          <w:ilvl w:val="0"/>
          <w:numId w:val="1001"/>
        </w:numPr>
        <w:pStyle w:val="Compact"/>
      </w:pPr>
      <w:r>
        <w:rPr>
          <w:bCs/>
          <w:b/>
        </w:rPr>
        <w:t xml:space="preserve">Anti-Corruption and Ethics:</w:t>
      </w:r>
      <w:r>
        <w:t xml:space="preserve"> </w:t>
      </w:r>
      <w:r>
        <w:t xml:space="preserve">The Medical Researcher warrants that no part of the compensation under this Purchase Order shall be used to offer, pay, or accept any bribe or improper inducement in violation of Dutch or EU anti-corruption legislation.</w:t>
      </w:r>
    </w:p>
    <w:p>
      <w:pPr>
        <w:numPr>
          <w:ilvl w:val="0"/>
          <w:numId w:val="1001"/>
        </w:numPr>
        <w:pStyle w:val="Compact"/>
      </w:pPr>
      <w:r>
        <w:rPr>
          <w:bCs/>
          <w:b/>
        </w:rPr>
        <w:t xml:space="preserve">Amendments:</w:t>
      </w:r>
      <w:r>
        <w:t xml:space="preserve"> </w:t>
      </w:r>
      <w:r>
        <w:t xml:space="preserve">Any amendment to this Purchase Order must be made in writing and signed by both parties. Verbal modifications shall have no legal effect.</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version and any Dutch translation, the English version shall prevail.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engagement of the Medical Researcher in Netherlands Amsterdam.</w:t>
      </w:r>
    </w:p>
    <w:bookmarkEnd w:id="27"/>
    <w:p>
      <w:pPr>
        <w:pStyle w:val="BodyText"/>
      </w:pPr>
      <w:r>
        <w:rPr>
          <w:bCs/>
          <w:b/>
        </w:rPr>
        <w:t xml:space="preserve">For and on behalf of the Buyer:</w:t>
      </w:r>
    </w:p>
    <w:p>
      <w:pPr>
        <w:pStyle w:val="BodyText"/>
      </w:pPr>
      <w:r>
        <w:t xml:space="preserve">Amsterdam Institute for Advanced Biomedical Sciences (AIVB)</w:t>
      </w:r>
    </w:p>
    <w:p>
      <w:pPr>
        <w:pStyle w:val="BodyText"/>
      </w:pPr>
      <w:r>
        <w:t xml:space="preserve">Name: Jeroen de Vries — Title: Procurement Director — Date: ____________</w:t>
      </w:r>
    </w:p>
    <w:p>
      <w:pPr>
        <w:pStyle w:val="BodyText"/>
      </w:pPr>
      <w:r>
        <w:rPr>
          <w:bCs/>
          <w:b/>
        </w:rPr>
        <w:t xml:space="preserve">For and on behalf of the Seller:</w:t>
      </w:r>
    </w:p>
    <w:p>
      <w:pPr>
        <w:pStyle w:val="BodyText"/>
      </w:pPr>
      <w:r>
        <w:t xml:space="preserve">Dr. Helena van der Berg — Medical Researcher</w:t>
      </w:r>
    </w:p>
    <w:p>
      <w:pPr>
        <w:pStyle w:val="BodyText"/>
      </w:pPr>
      <w:r>
        <w:t xml:space="preserve">Name: Dr. Helena van der Berg — Title: Principal Investigator — Date: ____________</w:t>
      </w:r>
    </w:p>
    <w:p>
      <w:pPr>
        <w:pStyle w:val="BodyText"/>
      </w:pPr>
      <w:r>
        <w:t xml:space="preserve">Purchase Order No. PO-2025-AMST-04782 | Amsterdam Institute for Advanced Biomedical Sciences | Science Park 105, 1098 XG Amsterdam, Netherlands</w:t>
      </w:r>
    </w:p>
    <w:p>
      <w:pPr>
        <w:pStyle w:val="BodyText"/>
      </w:pPr>
      <w:r>
        <w:t xml:space="preserve">IBAN: NL91 ABNA 0417 1643 00 | KVK: 67432109 | VAT: NL854321987B01</w:t>
      </w:r>
    </w:p>
    <w:p>
      <w:pPr>
        <w:pStyle w:val="BodyText"/>
      </w:pPr>
      <w:r>
        <w:t xml:space="preserve">This document is the property of AIVB. Unauthorized reproduction or distribution is prohibited under Dutch copyright law (Auteurswet).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Netherlands Amsterdam</dc:title>
  <dc:creator/>
  <dc:language>en</dc:language>
  <cp:keywords/>
  <dcterms:created xsi:type="dcterms:W3CDTF">2026-10-10T04:45:06Z</dcterms:created>
  <dcterms:modified xsi:type="dcterms:W3CDTF">2026-10-10T04:45:06Z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