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Medical</w:t>
      </w:r>
      <w:r>
        <w:t xml:space="preserve"> </w:t>
      </w:r>
      <w:r>
        <w:t xml:space="preserve">Researcher</w:t>
      </w:r>
      <w:r>
        <w:t xml:space="preserve"> </w:t>
      </w:r>
      <w:r>
        <w:t xml:space="preserve">-</w:t>
      </w:r>
      <w:r>
        <w:t xml:space="preserve"> </w:t>
      </w:r>
      <w:r>
        <w:t xml:space="preserve">New</w:t>
      </w:r>
      <w:r>
        <w:t xml:space="preserve"> </w:t>
      </w:r>
      <w:r>
        <w:t xml:space="preserve">Zealand</w:t>
      </w:r>
      <w:r>
        <w:t xml:space="preserve"> </w:t>
      </w:r>
      <w:r>
        <w:t xml:space="preserve">Auckland</w:t>
      </w:r>
    </w:p>
    <w:bookmarkStart w:id="28" w:name="purchase-order"/>
    <w:p>
      <w:pPr>
        <w:pStyle w:val="Heading1"/>
      </w:pPr>
      <w:r>
        <w:t xml:space="preserve">PURCHASE ORDER</w:t>
      </w:r>
    </w:p>
    <w:p>
      <w:pPr>
        <w:pStyle w:val="FirstParagraph"/>
      </w:pPr>
      <w:r>
        <w:t xml:space="preserve">Medical Researcher Equipment &amp; Services Procurement — New Zealand Auckland</w:t>
      </w:r>
    </w:p>
    <w:bookmarkStart w:id="20" w:name="buyer-requisitioning-department"/>
    <w:p>
      <w:pPr>
        <w:pStyle w:val="Heading3"/>
      </w:pPr>
      <w:r>
        <w:t xml:space="preserve">Buyer / Requisitioning Department</w:t>
      </w:r>
    </w:p>
    <w:p>
      <w:pPr>
        <w:pStyle w:val="FirstParagraph"/>
      </w:pPr>
      <w:r>
        <w:rPr>
          <w:bCs/>
          <w:b/>
        </w:rPr>
        <w:t xml:space="preserve">Auckland Institute of Medical Sciences (AIMS)</w:t>
      </w:r>
      <w:r>
        <w:br/>
      </w:r>
      <w:r>
        <w:t xml:space="preserve">Level 12, 100 Federal Street</w:t>
      </w:r>
      <w:r>
        <w:br/>
      </w:r>
      <w:r>
        <w:t xml:space="preserve">Auckland CBD, Auckland 1010</w:t>
      </w:r>
      <w:r>
        <w:br/>
      </w:r>
      <w:r>
        <w:t xml:space="preserve">New Zealand</w:t>
      </w:r>
      <w:r>
        <w:br/>
      </w:r>
      <w:r>
        <w:t xml:space="preserve">Phone: +64 9 376 4200</w:t>
      </w:r>
      <w:r>
        <w:br/>
      </w:r>
      <w:r>
        <w:t xml:space="preserve">Email: procurement@aims.co.nz</w:t>
      </w:r>
      <w:r>
        <w:br/>
      </w:r>
      <w:r>
        <w:t xml:space="preserve">GST Number: 942-601-883</w:t>
      </w:r>
    </w:p>
    <w:bookmarkEnd w:id="20"/>
    <w:bookmarkStart w:id="21" w:name="supplier-vendor"/>
    <w:p>
      <w:pPr>
        <w:pStyle w:val="Heading3"/>
      </w:pPr>
      <w:r>
        <w:t xml:space="preserve">Supplier / Vendor</w:t>
      </w:r>
    </w:p>
    <w:p>
      <w:pPr>
        <w:pStyle w:val="FirstParagraph"/>
      </w:pPr>
      <w:r>
        <w:rPr>
          <w:bCs/>
          <w:b/>
        </w:rPr>
        <w:t xml:space="preserve">Meridian Scientific Supply Co. Ltd.</w:t>
      </w:r>
      <w:r>
        <w:br/>
      </w:r>
      <w:r>
        <w:t xml:space="preserve">Unit 7, 45 Dominion Road</w:t>
      </w:r>
      <w:r>
        <w:br/>
      </w:r>
      <w:r>
        <w:t xml:space="preserve">Mount Eden, Auckland 1024</w:t>
      </w:r>
      <w:r>
        <w:br/>
      </w:r>
      <w:r>
        <w:t xml:space="preserve">New Zealand</w:t>
      </w:r>
      <w:r>
        <w:br/>
      </w:r>
      <w:r>
        <w:t xml:space="preserve">Phone: +64 9 525 7712</w:t>
      </w:r>
      <w:r>
        <w:br/>
      </w:r>
      <w:r>
        <w:t xml:space="preserve">Email: sales@meridianscientific.co.nz</w:t>
      </w:r>
      <w:r>
        <w:br/>
      </w:r>
      <w:r>
        <w:t xml:space="preserve">GST Number: 958-224-107</w:t>
      </w:r>
    </w:p>
    <w:bookmarkEnd w:id="21"/>
    <w:p>
      <w:pPr>
        <w:pStyle w:val="BodyText"/>
      </w:pPr>
      <w:r>
        <w:rPr>
          <w:bCs/>
          <w:b/>
        </w:rPr>
        <w:t xml:space="preserve">Purchase Order Number:</w:t>
      </w:r>
      <w:r>
        <w:t xml:space="preserve"> </w:t>
      </w:r>
      <w:r>
        <w:t xml:space="preserve">PO-AIMS-2025-0417</w:t>
      </w:r>
      <w:r>
        <w:br/>
      </w:r>
      <w:r>
        <w:rPr>
          <w:bCs/>
          <w:b/>
        </w:rPr>
        <w:t xml:space="preserve">Date of Issue:</w:t>
      </w:r>
      <w:r>
        <w:t xml:space="preserve"> </w:t>
      </w:r>
      <w:r>
        <w:t xml:space="preserve">14 June 2025</w:t>
      </w:r>
      <w:r>
        <w:br/>
      </w:r>
      <w:r>
        <w:rPr>
          <w:bCs/>
          <w:b/>
        </w:rPr>
        <w:t xml:space="preserve">Required Delivery Date:</w:t>
      </w:r>
      <w:r>
        <w:t xml:space="preserve"> </w:t>
      </w:r>
      <w:r>
        <w:t xml:space="preserve">08 July 2025</w:t>
      </w:r>
      <w:r>
        <w:br/>
      </w:r>
      <w:r>
        <w:rPr>
          <w:bCs/>
          <w:b/>
        </w:rPr>
        <w:t xml:space="preserve">Delivery Location:</w:t>
      </w:r>
      <w:r>
        <w:t xml:space="preserve"> </w:t>
      </w:r>
      <w:r>
        <w:t xml:space="preserve">AIMS Laboratory Wing B, 100 Federal Street, Auckland, New Zealand</w:t>
      </w:r>
      <w:r>
        <w:br/>
      </w:r>
      <w:r>
        <w:rPr>
          <w:bCs/>
          <w:b/>
        </w:rPr>
        <w:t xml:space="preserve">Payment Terms:</w:t>
      </w:r>
      <w:r>
        <w:t xml:space="preserve"> </w:t>
      </w:r>
      <w:r>
        <w:t xml:space="preserve">Net 30 days from invoice date</w:t>
      </w:r>
      <w:r>
        <w:br/>
      </w:r>
      <w:r>
        <w:rPr>
          <w:bCs/>
          <w:b/>
        </w:rPr>
        <w:t xml:space="preserve">Currency:</w:t>
      </w:r>
      <w:r>
        <w:t xml:space="preserve"> </w:t>
      </w:r>
      <w:r>
        <w:t xml:space="preserve">New Zealand Dollars (NZD)</w:t>
      </w:r>
    </w:p>
    <w:bookmarkStart w:id="22" w:name="purpose-and-scope-of-this-purchase-order"/>
    <w:p>
      <w:pPr>
        <w:pStyle w:val="Heading2"/>
      </w:pPr>
      <w:r>
        <w:t xml:space="preserve">1. Purpose and Scope of This Purchase Order</w:t>
      </w:r>
    </w:p>
    <w:p>
      <w:pPr>
        <w:pStyle w:val="FirstParagraph"/>
      </w:pPr>
      <w:r>
        <w:t xml:space="preserve">This Purchase Order is issued by the Auckland Institute of Medical Sciences (AIMS) to procure specialised laboratory equipment, reagents, consumables, and professional services required to support the ongoing work of a</w:t>
      </w:r>
      <w:r>
        <w:t xml:space="preserve"> </w:t>
      </w:r>
      <w:r>
        <w:rPr>
          <w:bCs/>
          <w:b/>
        </w:rPr>
        <w:t xml:space="preserve">Medical Researcher</w:t>
      </w:r>
      <w:r>
        <w:t xml:space="preserve"> </w:t>
      </w:r>
      <w:r>
        <w:t xml:space="preserve">assigned to the Department of Translational Oncology. The Medical Researcher, Dr. Elena Whitfield (Employee ID: AIMS-TR-2024-089), has submitted a formal requisition for the items and services listed below to enable the continuation of a three-year clinical trial investigating novel immunotherapy protocols for stage III non-small cell lung cancer. All items under this Purchase Order are to be delivered to the Auckland facility and must comply with the regulatory standards set forth by the New Zealand Ministry of Health and the Auckland Regional Public Health Service.</w:t>
      </w:r>
    </w:p>
    <w:bookmarkEnd w:id="22"/>
    <w:bookmarkStart w:id="23" w:name="line-items"/>
    <w:p>
      <w:pPr>
        <w:pStyle w:val="Heading2"/>
      </w:pPr>
      <w:r>
        <w:t xml:space="preserve">2.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(NZD)</w:t>
            </w:r>
          </w:p>
        </w:tc>
        <w:tc>
          <w:tcPr/>
          <w:p>
            <w:pPr>
              <w:pStyle w:val="Compact"/>
              <w:jc w:val="left"/>
            </w:pPr>
            <w:r>
              <w:t xml:space="preserve">Line Total (NZD)</w:t>
            </w:r>
          </w:p>
        </w:tc>
        <w:tc>
          <w:tcPr/>
          <w:p>
            <w:pPr>
              <w:pStyle w:val="Compact"/>
              <w:jc w:val="left"/>
            </w:pPr>
            <w:r>
              <w:t xml:space="preserve">Notes / Specifications</w:t>
            </w:r>
          </w:p>
        </w:tc>
      </w:tr>
      <w:tr>
        <w:tc>
          <w:tcPr/>
          <w:p>
            <w:pPr>
              <w:pStyle w:val="Compact"/>
              <w:jc w:val="left"/>
            </w:pPr>
            <w:r>
              <w:t xml:space="preserve">01</w:t>
            </w:r>
          </w:p>
        </w:tc>
        <w:tc>
          <w:tcPr/>
          <w:p>
            <w:pPr>
              <w:pStyle w:val="Compact"/>
              <w:jc w:val="left"/>
            </w:pPr>
            <w:r>
              <w:t xml:space="preserve">Real-Time PCR Thermal Cycler (Applied Biosystems QuantStudio 7 Pro)</w:t>
            </w:r>
          </w:p>
        </w:tc>
        <w:tc>
          <w:tcPr/>
          <w:p>
            <w:pPr>
              <w:pStyle w:val="Compact"/>
              <w:jc w:val="left"/>
            </w:pPr>
            <w:r>
              <w:t xml:space="preserve">1</w:t>
            </w:r>
          </w:p>
        </w:tc>
        <w:tc>
          <w:tcPr/>
          <w:p>
            <w:pPr>
              <w:pStyle w:val="Compact"/>
              <w:jc w:val="left"/>
            </w:pPr>
            <w:r>
              <w:t xml:space="preserve">18,450.00</w:t>
            </w:r>
          </w:p>
        </w:tc>
        <w:tc>
          <w:tcPr/>
          <w:p>
            <w:pPr>
              <w:pStyle w:val="Compact"/>
              <w:jc w:val="left"/>
            </w:pPr>
            <w:r>
              <w:t xml:space="preserve">18,450.00</w:t>
            </w:r>
          </w:p>
        </w:tc>
        <w:tc>
          <w:tcPr/>
          <w:p>
            <w:pPr>
              <w:pStyle w:val="Compact"/>
              <w:jc w:val="left"/>
            </w:pPr>
            <w:r>
              <w:t xml:space="preserve">For gene expression analysis; must include 2-year warranty and on-site installation in Auckland</w:t>
            </w:r>
          </w:p>
        </w:tc>
      </w:tr>
      <w:tr>
        <w:tc>
          <w:tcPr/>
          <w:p>
            <w:pPr>
              <w:pStyle w:val="Compact"/>
              <w:jc w:val="left"/>
            </w:pPr>
            <w:r>
              <w:t xml:space="preserve">02</w:t>
            </w:r>
          </w:p>
        </w:tc>
        <w:tc>
          <w:tcPr/>
          <w:p>
            <w:pPr>
              <w:pStyle w:val="Compact"/>
              <w:jc w:val="left"/>
            </w:pPr>
            <w:r>
              <w:t xml:space="preserve">Flow Cytometry Reagent Kit (BD FACSVerse, 96-well format)</w:t>
            </w:r>
          </w:p>
        </w:tc>
        <w:tc>
          <w:tcPr/>
          <w:p>
            <w:pPr>
              <w:pStyle w:val="Compact"/>
              <w:jc w:val="left"/>
            </w:pPr>
            <w:r>
              <w:t xml:space="preserve">12</w:t>
            </w:r>
          </w:p>
        </w:tc>
        <w:tc>
          <w:tcPr/>
          <w:p>
            <w:pPr>
              <w:pStyle w:val="Compact"/>
              <w:jc w:val="left"/>
            </w:pPr>
            <w:r>
              <w:t xml:space="preserve">1,280.00</w:t>
            </w:r>
          </w:p>
        </w:tc>
        <w:tc>
          <w:tcPr/>
          <w:p>
            <w:pPr>
              <w:pStyle w:val="Compact"/>
              <w:jc w:val="left"/>
            </w:pPr>
            <w:r>
              <w:t xml:space="preserve">15,360.00</w:t>
            </w:r>
          </w:p>
        </w:tc>
        <w:tc>
          <w:tcPr/>
          <w:p>
            <w:pPr>
              <w:pStyle w:val="Compact"/>
              <w:jc w:val="left"/>
            </w:pPr>
            <w:r>
              <w:t xml:space="preserve">Lot-traceable; expiry minimum 18 months from delivery date</w:t>
            </w:r>
          </w:p>
        </w:tc>
      </w:tr>
      <w:tr>
        <w:tc>
          <w:tcPr/>
          <w:p>
            <w:pPr>
              <w:pStyle w:val="Compact"/>
              <w:jc w:val="left"/>
            </w:pPr>
            <w:r>
              <w:t xml:space="preserve">03</w:t>
            </w:r>
          </w:p>
        </w:tc>
        <w:tc>
          <w:tcPr/>
          <w:p>
            <w:pPr>
              <w:pStyle w:val="Compact"/>
              <w:jc w:val="left"/>
            </w:pPr>
            <w:r>
              <w:t xml:space="preserve">Cell Culture Media (DMEM High Glucose, 500 mL bottles)</w:t>
            </w:r>
          </w:p>
        </w:tc>
        <w:tc>
          <w:tcPr/>
          <w:p>
            <w:pPr>
              <w:pStyle w:val="Compact"/>
              <w:jc w:val="left"/>
            </w:pPr>
            <w:r>
              <w:t xml:space="preserve">40</w:t>
            </w:r>
          </w:p>
        </w:tc>
        <w:tc>
          <w:tcPr/>
          <w:p>
            <w:pPr>
              <w:pStyle w:val="Compact"/>
              <w:jc w:val="left"/>
            </w:pPr>
            <w:r>
              <w:t xml:space="preserve">94.50</w:t>
            </w:r>
          </w:p>
        </w:tc>
        <w:tc>
          <w:tcPr/>
          <w:p>
            <w:pPr>
              <w:pStyle w:val="Compact"/>
              <w:jc w:val="left"/>
            </w:pPr>
            <w:r>
              <w:t xml:space="preserve">3,780.00</w:t>
            </w:r>
          </w:p>
        </w:tc>
        <w:tc>
          <w:tcPr/>
          <w:p>
            <w:pPr>
              <w:pStyle w:val="Compact"/>
              <w:jc w:val="left"/>
            </w:pPr>
            <w:r>
              <w:t xml:space="preserve">Endotoxin-free; stored at 2–8°C upon arrival at Auckland lab</w:t>
            </w:r>
          </w:p>
        </w:tc>
      </w:tr>
      <w:tr>
        <w:tc>
          <w:tcPr/>
          <w:p>
            <w:pPr>
              <w:pStyle w:val="Compact"/>
              <w:jc w:val="left"/>
            </w:pPr>
            <w:r>
              <w:t xml:space="preserve">04</w:t>
            </w:r>
          </w:p>
        </w:tc>
        <w:tc>
          <w:tcPr/>
          <w:p>
            <w:pPr>
              <w:pStyle w:val="Compact"/>
              <w:jc w:val="left"/>
            </w:pPr>
            <w:r>
              <w:t xml:space="preserve">Monoclonal Antibody Panel (Anti-CD4, Anti-CD8, Anti-CD20, Anti-CD3)</w:t>
            </w:r>
          </w:p>
        </w:tc>
        <w:tc>
          <w:tcPr/>
          <w:p>
            <w:pPr>
              <w:pStyle w:val="Compact"/>
              <w:jc w:val="left"/>
            </w:pPr>
            <w:r>
              <w:t xml:space="preserve">24</w:t>
            </w:r>
          </w:p>
        </w:tc>
        <w:tc>
          <w:tcPr/>
          <w:p>
            <w:pPr>
              <w:pStyle w:val="Compact"/>
              <w:jc w:val="left"/>
            </w:pPr>
            <w:r>
              <w:t xml:space="preserve">620.00</w:t>
            </w:r>
          </w:p>
        </w:tc>
        <w:tc>
          <w:tcPr/>
          <w:p>
            <w:pPr>
              <w:pStyle w:val="Compact"/>
              <w:jc w:val="left"/>
            </w:pPr>
            <w:r>
              <w:t xml:space="preserve">14,880.00</w:t>
            </w:r>
          </w:p>
        </w:tc>
        <w:tc>
          <w:tcPr/>
          <w:p>
            <w:pPr>
              <w:pStyle w:val="Compact"/>
              <w:jc w:val="left"/>
            </w:pPr>
            <w:r>
              <w:t xml:space="preserve">Research-grade; required for the Medical Researcher’s immunophenotyping workflow</w:t>
            </w:r>
          </w:p>
        </w:tc>
      </w:tr>
      <w:tr>
        <w:tc>
          <w:tcPr/>
          <w:p>
            <w:pPr>
              <w:pStyle w:val="Compact"/>
              <w:jc w:val="left"/>
            </w:pPr>
            <w:r>
              <w:t xml:space="preserve">05</w:t>
            </w:r>
          </w:p>
        </w:tc>
        <w:tc>
          <w:tcPr/>
          <w:p>
            <w:pPr>
              <w:pStyle w:val="Compact"/>
              <w:jc w:val="left"/>
            </w:pPr>
            <w:r>
              <w:t xml:space="preserve">Centrifuge Rotor (Beckman Coulter Optima L-90K, 24×2 mL)</w:t>
            </w:r>
          </w:p>
        </w:tc>
        <w:tc>
          <w:tcPr/>
          <w:p>
            <w:pPr>
              <w:pStyle w:val="Compact"/>
              <w:jc w:val="left"/>
            </w:pPr>
            <w:r>
              <w:t xml:space="preserve">2</w:t>
            </w:r>
          </w:p>
        </w:tc>
        <w:tc>
          <w:tcPr/>
          <w:p>
            <w:pPr>
              <w:pStyle w:val="Compact"/>
              <w:jc w:val="left"/>
            </w:pPr>
            <w:r>
              <w:t xml:space="preserve">3,150.00</w:t>
            </w:r>
          </w:p>
        </w:tc>
        <w:tc>
          <w:tcPr/>
          <w:p>
            <w:pPr>
              <w:pStyle w:val="Compact"/>
              <w:jc w:val="left"/>
            </w:pPr>
            <w:r>
              <w:t xml:space="preserve">6,300.00</w:t>
            </w:r>
          </w:p>
        </w:tc>
        <w:tc>
          <w:tcPr/>
          <w:p>
            <w:pPr>
              <w:pStyle w:val="Compact"/>
              <w:jc w:val="left"/>
            </w:pPr>
            <w:r>
              <w:t xml:space="preserve">Compatible with existing L-90K unit in Lab Wing B, Auckland</w:t>
            </w:r>
          </w:p>
        </w:tc>
      </w:tr>
      <w:tr>
        <w:tc>
          <w:tcPr/>
          <w:p>
            <w:pPr>
              <w:pStyle w:val="Compact"/>
              <w:jc w:val="left"/>
            </w:pPr>
            <w:r>
              <w:t xml:space="preserve">06</w:t>
            </w:r>
          </w:p>
        </w:tc>
        <w:tc>
          <w:tcPr/>
          <w:p>
            <w:pPr>
              <w:pStyle w:val="Compact"/>
              <w:jc w:val="left"/>
            </w:pPr>
            <w:r>
              <w:t xml:space="preserve">Personal Protective Equipment (Nitrile gloves, lab coats, safety goggles) — 6-month supply</w:t>
            </w:r>
          </w:p>
        </w:tc>
        <w:tc>
          <w:tcPr/>
          <w:p>
            <w:pPr>
              <w:pStyle w:val="Compact"/>
              <w:jc w:val="left"/>
            </w:pPr>
            <w:r>
              <w:t xml:space="preserve">1</w:t>
            </w:r>
          </w:p>
        </w:tc>
        <w:tc>
          <w:tcPr/>
          <w:p>
            <w:pPr>
              <w:pStyle w:val="Compact"/>
              <w:jc w:val="left"/>
            </w:pPr>
            <w:r>
              <w:t xml:space="preserve">2,840.00</w:t>
            </w:r>
          </w:p>
        </w:tc>
        <w:tc>
          <w:tcPr/>
          <w:p>
            <w:pPr>
              <w:pStyle w:val="Compact"/>
              <w:jc w:val="left"/>
            </w:pPr>
            <w:r>
              <w:t xml:space="preserve">2,840.00</w:t>
            </w:r>
          </w:p>
        </w:tc>
        <w:tc>
          <w:tcPr/>
          <w:p>
            <w:pPr>
              <w:pStyle w:val="Compact"/>
              <w:jc w:val="left"/>
            </w:pPr>
            <w:r>
              <w:t xml:space="preserve">For the Medical Researcher and two junior lab technicians; AS/NZS 2161 compliant</w:t>
            </w:r>
          </w:p>
        </w:tc>
      </w:tr>
      <w:tr>
        <w:tc>
          <w:tcPr/>
          <w:p>
            <w:pPr>
              <w:pStyle w:val="Compact"/>
              <w:jc w:val="left"/>
            </w:pPr>
            <w:r>
              <w:t xml:space="preserve">07</w:t>
            </w:r>
          </w:p>
        </w:tc>
        <w:tc>
          <w:tcPr/>
          <w:p>
            <w:pPr>
              <w:pStyle w:val="Compact"/>
              <w:jc w:val="left"/>
            </w:pPr>
            <w:r>
              <w:t xml:space="preserve">Professional Calibration &amp; Certification Service (PCR instrument, flow cytometer)</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c>
          <w:tcPr/>
          <w:p>
            <w:pPr>
              <w:pStyle w:val="Compact"/>
              <w:jc w:val="left"/>
            </w:pPr>
            <w:r>
              <w:t xml:space="preserve">On-site service in Auckland; certificate of calibration to be provided to AIMS quality office</w:t>
            </w:r>
          </w:p>
        </w:tc>
      </w:tr>
      <w:tr>
        <w:tc>
          <w:tcPr/>
          <w:p>
            <w:pPr>
              <w:pStyle w:val="Compact"/>
              <w:jc w:val="left"/>
            </w:pPr>
            <w:r>
              <w:t xml:space="preserve">08</w:t>
            </w:r>
          </w:p>
        </w:tc>
        <w:tc>
          <w:tcPr/>
          <w:p>
            <w:pPr>
              <w:pStyle w:val="Compact"/>
              <w:jc w:val="left"/>
            </w:pPr>
            <w:r>
              <w:t xml:space="preserve">Waste Disposal &amp; Biohazard Transport (quarterly contract, 4 collections)</w:t>
            </w:r>
          </w:p>
        </w:tc>
        <w:tc>
          <w:tcPr/>
          <w:p>
            <w:pPr>
              <w:pStyle w:val="Compact"/>
              <w:jc w:val="left"/>
            </w:pPr>
            <w:r>
              <w:t xml:space="preserve">4</w:t>
            </w:r>
          </w:p>
        </w:tc>
        <w:tc>
          <w:tcPr/>
          <w:p>
            <w:pPr>
              <w:pStyle w:val="Compact"/>
              <w:jc w:val="left"/>
            </w:pPr>
            <w:r>
              <w:t xml:space="preserve">1,150.00</w:t>
            </w:r>
          </w:p>
        </w:tc>
        <w:tc>
          <w:tcPr/>
          <w:p>
            <w:pPr>
              <w:pStyle w:val="Compact"/>
              <w:jc w:val="left"/>
            </w:pPr>
            <w:r>
              <w:t xml:space="preserve">4,600.00</w:t>
            </w:r>
          </w:p>
        </w:tc>
        <w:tc>
          <w:tcPr/>
          <w:p>
            <w:pPr>
              <w:pStyle w:val="Compact"/>
              <w:jc w:val="left"/>
            </w:pPr>
            <w:r>
              <w:t xml:space="preserve">Compliant with New Zealand EPA and Auckland Council biohazard transport regulations</w:t>
            </w:r>
          </w:p>
        </w:tc>
      </w:tr>
    </w:tbl>
    <w:p/>
    <w:tbl>
      <w:tblPr>
        <w:tblStyle w:val="Table"/>
        <w:tblW w:type="auto" w:w="0"/>
        <w:tblLook w:firstRow="0" w:lastRow="0" w:firstColumn="0" w:lastColumn="0" w:noHBand="0" w:noVBand="0" w:val="0000"/>
      </w:tblPr>
      <w:tblGrid>
        <w:gridCol w:w="3960"/>
        <w:gridCol w:w="3960"/>
      </w:tblGrid>
      <w:tr>
        <w:tc>
          <w:tcPr/>
          <w:p>
            <w:pPr>
              <w:pStyle w:val="Compact"/>
              <w:jc w:val="right"/>
            </w:pPr>
            <w:r>
              <w:t xml:space="preserve">Subtotal (NZD):</w:t>
            </w:r>
          </w:p>
        </w:tc>
        <w:tc>
          <w:tcPr/>
          <w:p>
            <w:pPr>
              <w:pStyle w:val="Compact"/>
              <w:jc w:val="left"/>
            </w:pPr>
            <w:r>
              <w:t xml:space="preserve">70,410.00</w:t>
            </w:r>
          </w:p>
        </w:tc>
      </w:tr>
      <w:tr>
        <w:tc>
          <w:tcPr/>
          <w:p>
            <w:pPr>
              <w:pStyle w:val="Compact"/>
              <w:jc w:val="right"/>
            </w:pPr>
            <w:r>
              <w:t xml:space="preserve">GST (15%):</w:t>
            </w:r>
          </w:p>
        </w:tc>
        <w:tc>
          <w:tcPr/>
          <w:p>
            <w:pPr>
              <w:pStyle w:val="Compact"/>
              <w:jc w:val="left"/>
            </w:pPr>
            <w:r>
              <w:t xml:space="preserve">10,561.50</w:t>
            </w:r>
          </w:p>
        </w:tc>
      </w:tr>
      <w:tr>
        <w:tc>
          <w:tcPr/>
          <w:p>
            <w:pPr>
              <w:pStyle w:val="Compact"/>
              <w:jc w:val="right"/>
            </w:pPr>
            <w:r>
              <w:t xml:space="preserve">TOTAL AMOUNT DUE (NZD):</w:t>
            </w:r>
          </w:p>
        </w:tc>
        <w:tc>
          <w:tcPr/>
          <w:p>
            <w:pPr>
              <w:pStyle w:val="Compact"/>
              <w:jc w:val="left"/>
            </w:pPr>
            <w:r>
              <w:t xml:space="preserve">80,971.50</w:t>
            </w:r>
          </w:p>
        </w:tc>
      </w:tr>
    </w:tbl>
    <w:bookmarkEnd w:id="23"/>
    <w:bookmarkStart w:id="24" w:name="delivery-and-logistics"/>
    <w:p>
      <w:pPr>
        <w:pStyle w:val="Heading2"/>
      </w:pPr>
      <w:r>
        <w:t xml:space="preserve">3. Delivery and Logistics</w:t>
      </w:r>
    </w:p>
    <w:p>
      <w:pPr>
        <w:pStyle w:val="FirstParagraph"/>
      </w:pPr>
      <w:r>
        <w:t xml:space="preserve">All goods under this Purchase Order shall be delivered to the AIMS Laboratory Wing B at 100 Federal Street, Auckland, New Zealand, between 08:00 and 16:00 on a weekday. The supplier is responsible for all freight, insurance, and customs clearance (where applicable for imported reagents) until the items are received and signed for by the AIMS receiving officer. Fragile and temperature-sensitive items (Items 03 and 04) must be shipped in validated cold-chain packaging with temperature data loggers. The Medical Researcher, Dr. Whitfield, or her designated delegate, will be present at the time of delivery to inspect and verify the condition and completeness of all shipments. Any discrepancies must be reported to the supplier within 48 hours of receipt.</w:t>
      </w:r>
    </w:p>
    <w:bookmarkEnd w:id="24"/>
    <w:bookmarkStart w:id="25" w:name="terms-and-conditions"/>
    <w:p>
      <w:pPr>
        <w:pStyle w:val="Heading2"/>
      </w:pPr>
      <w:r>
        <w:t xml:space="preserve">4. Terms and Conditions</w:t>
      </w:r>
    </w:p>
    <w:p>
      <w:pPr>
        <w:pStyle w:val="FirstParagraph"/>
      </w:pPr>
      <w:r>
        <w:t xml:space="preserve">4.1 This Purchase Order is governed by the laws of New Zealand and the Auckland District Court shall have jurisdiction over any disputes arising from its execution.</w:t>
      </w:r>
      <w:r>
        <w:br/>
      </w:r>
      <w:r>
        <w:t xml:space="preserve">4.2 The supplier warrants that all goods conform to the specifications stated herein and to all applicable New Zealand regulatory standards, including those administered by the Ministry of Business, Innovation and Employment (MBIE) and the New Zealand Food Safety Authority where relevant to biological materials.</w:t>
      </w:r>
      <w:r>
        <w:br/>
      </w:r>
      <w:r>
        <w:t xml:space="preserve">4.3 The Medical Researcher’s laboratory is a controlled environment. The supplier’s delivery personnel must comply with AIMS site-access protocols, including induction training, PPE requirements, and sign-in at the Auckland reception desk.</w:t>
      </w:r>
      <w:r>
        <w:br/>
      </w:r>
      <w:r>
        <w:t xml:space="preserve">4.4 Payment shall be made by electronic funds transfer (EFT) to the supplier’s nominated New Zealand bank account within thirty (30) calendar days of receipt of a valid tax invoice referencing this Purchase Order number.</w:t>
      </w:r>
      <w:r>
        <w:br/>
      </w:r>
      <w:r>
        <w:t xml:space="preserve">4.5 The supplier shall not subcontract any portion of this Purchase Order without prior written consent from the AIMS Procurement Manager.</w:t>
      </w:r>
      <w:r>
        <w:br/>
      </w:r>
      <w:r>
        <w:t xml:space="preserve">4.6 In the event of non-delivery or defective goods, the supplier shall replace or repair the affected items at no additional cost within ten (10) business days, or issue a full credit note at AIMS’ discretion.</w:t>
      </w:r>
      <w:r>
        <w:br/>
      </w:r>
      <w:r>
        <w:t xml:space="preserve">4.7 All intellectual property and data generated through the use of the procured items remain the sole property of AIMS and the Medical Researcher conducting the study.</w:t>
      </w:r>
    </w:p>
    <w:bookmarkEnd w:id="25"/>
    <w:bookmarkStart w:id="26" w:name="authorisation-and-signatures"/>
    <w:p>
      <w:pPr>
        <w:pStyle w:val="Heading2"/>
      </w:pPr>
      <w:r>
        <w:t xml:space="preserve">5. Authorisation and Signatures</w:t>
      </w:r>
    </w:p>
    <w:p>
      <w:pPr>
        <w:pStyle w:val="FirstParagraph"/>
      </w:pPr>
      <w:r>
        <w:t xml:space="preserve">This Purchase Order is authorised and binding upon the signatures of the undersigned representatives of both parties. By signing, the supplier acknowledges receipt of this Purchase Order and agrees to fulfil all obligations described herein for the benefit of the Medical Researcher and the Auckland Institute of Medical Sciences.</w:t>
      </w:r>
    </w:p>
    <w:bookmarkEnd w:id="26"/>
    <w:p>
      <w:pPr>
        <w:pStyle w:val="BodyText"/>
      </w:pPr>
      <w:r>
        <w:rPr>
          <w:bCs/>
          <w:b/>
        </w:rPr>
        <w:t xml:space="preserve">For and on behalf of AIMS (Buyer):</w:t>
      </w:r>
      <w:r>
        <w:br/>
      </w:r>
      <w:r>
        <w:br/>
      </w:r>
      <w:r>
        <w:t xml:space="preserve">______________________________</w:t>
      </w:r>
      <w:r>
        <w:br/>
      </w:r>
      <w:r>
        <w:t xml:space="preserve">Name: Dr. Marcus Chen</w:t>
      </w:r>
      <w:r>
        <w:br/>
      </w:r>
      <w:r>
        <w:t xml:space="preserve">Title: Head of Procurement, AIMS</w:t>
      </w:r>
      <w:r>
        <w:br/>
      </w:r>
      <w:r>
        <w:t xml:space="preserve">Date: 14 June 2025</w:t>
      </w:r>
    </w:p>
    <w:p>
      <w:pPr>
        <w:pStyle w:val="BodyText"/>
      </w:pPr>
      <w:r>
        <w:rPr>
          <w:bCs/>
          <w:b/>
        </w:rPr>
        <w:t xml:space="preserve">For and on behalf of Meridian Scientific Supply Co. (Supplier):</w:t>
      </w:r>
      <w:r>
        <w:br/>
      </w:r>
      <w:r>
        <w:br/>
      </w:r>
      <w:r>
        <w:t xml:space="preserve">______________________________</w:t>
      </w:r>
      <w:r>
        <w:br/>
      </w:r>
      <w:r>
        <w:t xml:space="preserve">Name: Sarah O’Leary</w:t>
      </w:r>
      <w:r>
        <w:br/>
      </w:r>
      <w:r>
        <w:t xml:space="preserve">Title: Accounts Manager</w:t>
      </w:r>
      <w:r>
        <w:br/>
      </w:r>
      <w:r>
        <w:t xml:space="preserve">Date: _______________</w:t>
      </w:r>
    </w:p>
    <w:bookmarkStart w:id="27" w:name="additional-notes"/>
    <w:p>
      <w:pPr>
        <w:pStyle w:val="Heading2"/>
      </w:pPr>
      <w:r>
        <w:t xml:space="preserve">6. Additional Notes</w:t>
      </w:r>
    </w:p>
    <w:p>
      <w:pPr>
        <w:pStyle w:val="FirstParagraph"/>
      </w:pPr>
      <w:r>
        <w:t xml:space="preserve">This Purchase Order was prepared in support of the Medical Researcher’s funded project (Grant Ref: NZ-NSF-2024-ONC-1142) administered under the New Zealand National Science Challenge for Cancer. All procurement activities are subject to audit by the AIMS Finance Office and, where applicable, by the New Zealand Health Research Council. The Auckland facility operates under ISO 15189 accreditation for laboratory services, and all equipment procured under this Purchase Order must meet or exceed the quality management requirements stipulated in that standard. Please direct all queries regarding this Purchase Order to the AIMS Procurement Office in Auckland at procurement@aims.co.nz or +64 9 376 4200, Monday to Friday, 09:00–17:00 NZST.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Medical Researcher - New Zealand Auckland</dc:title>
  <dc:creator/>
  <dc:language>en</dc:language>
  <cp:keywords/>
  <dcterms:created xsi:type="dcterms:W3CDTF">2026-10-10T05:52:51Z</dcterms:created>
  <dcterms:modified xsi:type="dcterms:W3CDTF">2026-10-10T05:52:51Z</dcterms:modified>
</cp:coreProperties>
</file>

<file path=docProps/custom.xml><?xml version="1.0" encoding="utf-8"?>
<Properties xmlns="http://schemas.openxmlformats.org/officeDocument/2006/custom-properties" xmlns:vt="http://schemas.openxmlformats.org/officeDocument/2006/docPropsVTypes"/>
</file>