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Nigeria</w:t>
      </w:r>
      <w:r>
        <w:t xml:space="preserve"> </w:t>
      </w:r>
      <w:r>
        <w:t xml:space="preserve">Abuja</w:t>
      </w:r>
    </w:p>
    <w:bookmarkStart w:id="20" w:name="purchase-order"/>
    <w:p>
      <w:pPr>
        <w:pStyle w:val="Heading1"/>
      </w:pPr>
      <w:r>
        <w:t xml:space="preserve">PURCHASE ORDER</w:t>
      </w:r>
    </w:p>
    <w:p>
      <w:pPr>
        <w:pStyle w:val="FirstParagraph"/>
      </w:pPr>
      <w:r>
        <w:rPr>
          <w:bCs/>
          <w:b/>
        </w:rPr>
        <w:t xml:space="preserve">Abuja Medical Research Institute (AMRI)</w:t>
      </w:r>
    </w:p>
    <w:p>
      <w:pPr>
        <w:pStyle w:val="BodyText"/>
      </w:pPr>
      <w:r>
        <w:t xml:space="preserve">Plot 14, Area 9, Garki, Abuja, FCT, Nigeria</w:t>
      </w:r>
    </w:p>
    <w:p>
      <w:pPr>
        <w:pStyle w:val="BodyText"/>
      </w:pPr>
      <w:r>
        <w:t xml:space="preserve">Tel: +234 (0) 9 123 4567 | Email: procurement@amri-abuja.ng</w:t>
      </w:r>
    </w:p>
    <w:p>
      <w:pPr>
        <w:pStyle w:val="BodyText"/>
      </w:pPr>
      <w:r>
        <w:t xml:space="preserve">RC No: 45821 | Tax ID: 10-234-567-00</w:t>
      </w:r>
    </w:p>
    <w:bookmarkEnd w:id="20"/>
    <w:p>
      <w:pPr>
        <w:pStyle w:val="BodyText"/>
      </w:pPr>
      <w:r>
        <w:rPr>
          <w:bCs/>
          <w:b/>
        </w:rPr>
        <w:t xml:space="preserve">Purchase Order No:</w:t>
      </w:r>
      <w:r>
        <w:t xml:space="preserve"> </w:t>
      </w:r>
      <w:r>
        <w:t xml:space="preserve">AMRI/PO/2025/00472</w:t>
      </w:r>
    </w:p>
    <w:p>
      <w:pPr>
        <w:pStyle w:val="BodyText"/>
      </w:pPr>
      <w:r>
        <w:rPr>
          <w:bCs/>
          <w:b/>
        </w:rPr>
        <w:t xml:space="preserve">Date of Issue:</w:t>
      </w:r>
      <w:r>
        <w:t xml:space="preserve"> </w:t>
      </w:r>
      <w:r>
        <w:t xml:space="preserve">12 June 2025</w:t>
      </w:r>
    </w:p>
    <w:p>
      <w:pPr>
        <w:pStyle w:val="BodyText"/>
      </w:pPr>
      <w:r>
        <w:rPr>
          <w:bCs/>
          <w:b/>
        </w:rPr>
        <w:t xml:space="preserve">Required Delivery Date:</w:t>
      </w:r>
      <w:r>
        <w:t xml:space="preserve"> </w:t>
      </w:r>
      <w:r>
        <w:t xml:space="preserve">28 June 2025</w:t>
      </w:r>
    </w:p>
    <w:p>
      <w:pPr>
        <w:pStyle w:val="BodyText"/>
      </w:pPr>
      <w:r>
        <w:rPr>
          <w:bCs/>
          <w:b/>
        </w:rPr>
        <w:t xml:space="preserve">Payment Terms:</w:t>
      </w:r>
      <w:r>
        <w:t xml:space="preserve"> </w:t>
      </w:r>
      <w:r>
        <w:t xml:space="preserve">Net 30 Days</w:t>
      </w:r>
    </w:p>
    <w:p>
      <w:pPr>
        <w:pStyle w:val="BodyText"/>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Abuja Medical Research Institute (AMRI)</w:t>
            </w:r>
          </w:p>
        </w:tc>
        <w:tc>
          <w:tcPr/>
          <w:p>
            <w:pPr>
              <w:pStyle w:val="Compact"/>
              <w:jc w:val="left"/>
            </w:pPr>
            <w:r>
              <w:rPr>
                <w:bCs/>
                <w:b/>
              </w:rPr>
              <w:t xml:space="preserve">Department:</w:t>
            </w:r>
            <w:r>
              <w:t xml:space="preserve"> </w:t>
            </w:r>
            <w:r>
              <w:t xml:space="preserve">Clinical &amp; Molecular Research Division</w:t>
            </w:r>
          </w:p>
        </w:tc>
      </w:tr>
      <w:tr>
        <w:tc>
          <w:tcPr/>
          <w:p>
            <w:pPr>
              <w:pStyle w:val="Compact"/>
              <w:jc w:val="left"/>
            </w:pPr>
            <w:r>
              <w:rPr>
                <w:bCs/>
                <w:b/>
              </w:rPr>
              <w:t xml:space="preserve">Authorized Officer:</w:t>
            </w:r>
            <w:r>
              <w:t xml:space="preserve"> </w:t>
            </w:r>
            <w:r>
              <w:t xml:space="preserve">Dr. Amina Yusuf, Head of Research Procurement</w:t>
            </w:r>
          </w:p>
        </w:tc>
        <w:tc>
          <w:tcPr/>
          <w:p>
            <w:pPr>
              <w:pStyle w:val="Compact"/>
              <w:jc w:val="left"/>
            </w:pPr>
            <w:r>
              <w:rPr>
                <w:bCs/>
                <w:b/>
              </w:rPr>
              <w:t xml:space="preserve">Address:</w:t>
            </w:r>
            <w:r>
              <w:t xml:space="preserve"> </w:t>
            </w:r>
            <w:r>
              <w:t xml:space="preserve">Plot 14, Area 9, Garki, Abuja, FCT, Nigeria</w:t>
            </w:r>
          </w:p>
        </w:tc>
      </w:tr>
      <w:tr>
        <w:tc>
          <w:tcPr/>
          <w:p>
            <w:pPr>
              <w:pStyle w:val="Compact"/>
              <w:jc w:val="left"/>
            </w:pPr>
            <w:r>
              <w:rPr>
                <w:bCs/>
                <w:b/>
              </w:rPr>
              <w:t xml:space="preserve">Contact Phone:</w:t>
            </w:r>
            <w:r>
              <w:t xml:space="preserve"> </w:t>
            </w:r>
            <w:r>
              <w:t xml:space="preserve">+234 (0) 803 555 1234</w:t>
            </w:r>
          </w:p>
        </w:tc>
        <w:tc>
          <w:tcPr/>
          <w:p>
            <w:pPr>
              <w:pStyle w:val="Compact"/>
              <w:jc w:val="left"/>
            </w:pPr>
            <w:r>
              <w:rPr>
                <w:bCs/>
                <w:b/>
              </w:rPr>
              <w:t xml:space="preserve">Email:</w:t>
            </w:r>
            <w:r>
              <w:t xml:space="preserve"> </w:t>
            </w:r>
            <w:r>
              <w:t xml:space="preserve">a.yusuf@amri-abuja.ng</w:t>
            </w:r>
          </w:p>
        </w:tc>
      </w:tr>
    </w:tbl>
    <w:p>
      <w:pPr>
        <w:pStyle w:val="BodyText"/>
      </w:pPr>
      <w:r>
        <w:t xml:space="preserve">2. SELLER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r>
              <w:t xml:space="preserve"> </w:t>
            </w:r>
            <w:r>
              <w:t xml:space="preserve">MedLab Scientific Supplies (Nigeria) Ltd.</w:t>
            </w:r>
          </w:p>
        </w:tc>
        <w:tc>
          <w:tcPr/>
          <w:p>
            <w:pPr>
              <w:pStyle w:val="Compact"/>
              <w:jc w:val="left"/>
            </w:pPr>
            <w:r>
              <w:rPr>
                <w:bCs/>
                <w:b/>
              </w:rPr>
              <w:t xml:space="preserve">Supplier RC No:</w:t>
            </w:r>
            <w:r>
              <w:t xml:space="preserve"> </w:t>
            </w:r>
            <w:r>
              <w:t xml:space="preserve">78234</w:t>
            </w:r>
          </w:p>
        </w:tc>
      </w:tr>
      <w:tr>
        <w:tc>
          <w:tcPr/>
          <w:p>
            <w:pPr>
              <w:pStyle w:val="Compact"/>
              <w:jc w:val="left"/>
            </w:pPr>
            <w:r>
              <w:rPr>
                <w:bCs/>
                <w:b/>
              </w:rPr>
              <w:t xml:space="preserve">Address:</w:t>
            </w:r>
            <w:r>
              <w:t xml:space="preserve"> </w:t>
            </w:r>
            <w:r>
              <w:t xml:space="preserve">22 Zaria Road, Wuse II, Abuja, FCT, Nigeria</w:t>
            </w:r>
          </w:p>
        </w:tc>
        <w:tc>
          <w:tcPr/>
          <w:p>
            <w:pPr>
              <w:pStyle w:val="Compact"/>
              <w:jc w:val="left"/>
            </w:pPr>
            <w:r>
              <w:rPr>
                <w:bCs/>
                <w:b/>
              </w:rPr>
              <w:t xml:space="preserve">Tax ID:</w:t>
            </w:r>
            <w:r>
              <w:t xml:space="preserve"> </w:t>
            </w:r>
            <w:r>
              <w:t xml:space="preserve">22-891-445-00</w:t>
            </w:r>
          </w:p>
        </w:tc>
      </w:tr>
      <w:tr>
        <w:tc>
          <w:tcPr/>
          <w:p>
            <w:pPr>
              <w:pStyle w:val="Compact"/>
              <w:jc w:val="left"/>
            </w:pPr>
            <w:r>
              <w:rPr>
                <w:bCs/>
                <w:b/>
              </w:rPr>
              <w:t xml:space="preserve">Contact Person:</w:t>
            </w:r>
            <w:r>
              <w:t xml:space="preserve"> </w:t>
            </w:r>
            <w:r>
              <w:t xml:space="preserve">Mr. Chukwuemeka Obi, Sales Director</w:t>
            </w:r>
          </w:p>
        </w:tc>
        <w:tc>
          <w:tcPr/>
          <w:p>
            <w:pPr>
              <w:pStyle w:val="Compact"/>
              <w:jc w:val="left"/>
            </w:pPr>
            <w:r>
              <w:rPr>
                <w:bCs/>
                <w:b/>
              </w:rPr>
              <w:t xml:space="preserve">Email:</w:t>
            </w:r>
            <w:r>
              <w:t xml:space="preserve"> </w:t>
            </w:r>
            <w:r>
              <w:t xml:space="preserve">sales@medlab-ng.com</w:t>
            </w:r>
          </w:p>
        </w:tc>
      </w:tr>
    </w:tbl>
    <w:p>
      <w:pPr>
        <w:pStyle w:val="BodyText"/>
      </w:pPr>
      <w:r>
        <w:t xml:space="preserve">3. PURPOSE AND SCOPE</w:t>
      </w:r>
    </w:p>
    <w:p>
      <w:pPr>
        <w:pStyle w:val="BodyText"/>
      </w:pPr>
      <w:r>
        <w:t xml:space="preserve">This Purchase Order is issued by the Abuja Medical Research Institute to procure specialized laboratory equipment, reagents, and consumables required for the ongoing work of a senior</w:t>
      </w:r>
      <w:r>
        <w:t xml:space="preserve"> </w:t>
      </w:r>
      <w:r>
        <w:rPr>
          <w:bCs/>
          <w:b/>
        </w:rPr>
        <w:t xml:space="preserve">Medical Researcher</w:t>
      </w:r>
      <w:r>
        <w:t xml:space="preserve"> </w:t>
      </w:r>
      <w:r>
        <w:t xml:space="preserve">conducting a multi-year study on malaria pathogenesis and antimalarial drug resistance in the FCT region. The items listed below have been specifically identified by the Medical Researcher, Dr. Emeka Nwosu (Principal Investigator), as essential for the continuation of Phase II clinical trials and associated molecular biology analyses. All equipment must meet international ISO 9001:2015 quality standards and comply with the regulatory requirements of the National Agency for Food and Drug Administration and Control (NAFDAC) in Nigeria Abuja.</w:t>
      </w:r>
    </w:p>
    <w:p>
      <w:pPr>
        <w:pStyle w:val="BodyText"/>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Item</w:t>
            </w:r>
          </w:p>
        </w:tc>
        <w:tc>
          <w:tcPr/>
          <w:p>
            <w:pPr>
              <w:pStyle w:val="Compact"/>
              <w:jc w:val="left"/>
            </w:pPr>
            <w:r>
              <w:t xml:space="preserve">Qty</w:t>
            </w:r>
          </w:p>
        </w:tc>
        <w:tc>
          <w:tcPr/>
          <w:p>
            <w:pPr>
              <w:pStyle w:val="Compact"/>
              <w:jc w:val="left"/>
            </w:pPr>
            <w:r>
              <w:t xml:space="preserve">Unit Price (NGN)</w:t>
            </w:r>
          </w:p>
        </w:tc>
        <w:tc>
          <w:tcPr/>
          <w:p>
            <w:pPr>
              <w:pStyle w:val="Compact"/>
              <w:jc w:val="left"/>
            </w:pPr>
            <w:r>
              <w:t xml:space="preserve">Total (NGN)</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Real-Time PCR Thermal Cycler (Applied Biosystems 7500 equivalent) – required by the Medical Researcher for gene expression profiling</w:t>
            </w:r>
          </w:p>
        </w:tc>
        <w:tc>
          <w:tcPr/>
          <w:p>
            <w:pPr>
              <w:pStyle w:val="Compact"/>
              <w:jc w:val="left"/>
            </w:pPr>
            <w:r>
              <w:t xml:space="preserve">2</w:t>
            </w:r>
          </w:p>
        </w:tc>
        <w:tc>
          <w:tcPr/>
          <w:p>
            <w:pPr>
              <w:pStyle w:val="Compact"/>
              <w:jc w:val="left"/>
            </w:pPr>
            <w:r>
              <w:t xml:space="preserve">4,850,000.00</w:t>
            </w:r>
          </w:p>
        </w:tc>
        <w:tc>
          <w:tcPr/>
          <w:p>
            <w:pPr>
              <w:pStyle w:val="Compact"/>
              <w:jc w:val="left"/>
            </w:pPr>
            <w:r>
              <w:t xml:space="preserve">9,700,000.00</w:t>
            </w:r>
          </w:p>
        </w:tc>
        <w:tc>
          <w:tcPr/>
          <w:p>
            <w:pPr>
              <w:pStyle w:val="Compact"/>
              <w:jc w:val="left"/>
            </w:pPr>
            <w:r>
              <w:t xml:space="preserve">Includes 2-year warranty and on-site installation in Abuja</w:t>
            </w:r>
          </w:p>
        </w:tc>
      </w:tr>
      <w:tr>
        <w:tc>
          <w:tcPr/>
          <w:p>
            <w:pPr>
              <w:pStyle w:val="Compact"/>
              <w:jc w:val="left"/>
            </w:pPr>
            <w:r>
              <w:t xml:space="preserve">2</w:t>
            </w:r>
          </w:p>
        </w:tc>
        <w:tc>
          <w:tcPr/>
          <w:p>
            <w:pPr>
              <w:pStyle w:val="Compact"/>
              <w:jc w:val="left"/>
            </w:pPr>
            <w:r>
              <w:t xml:space="preserve">Centrifuge, Ultra-Cool 15R (Eppendorf 5910i equivalent) – for plasma separation in the Medical Researcher's sample processing workflow</w:t>
            </w:r>
          </w:p>
        </w:tc>
        <w:tc>
          <w:tcPr/>
          <w:p>
            <w:pPr>
              <w:pStyle w:val="Compact"/>
              <w:jc w:val="left"/>
            </w:pPr>
            <w:r>
              <w:t xml:space="preserve">3</w:t>
            </w:r>
          </w:p>
        </w:tc>
        <w:tc>
          <w:tcPr/>
          <w:p>
            <w:pPr>
              <w:pStyle w:val="Compact"/>
              <w:jc w:val="left"/>
            </w:pPr>
            <w:r>
              <w:t xml:space="preserve">2,340,000.00</w:t>
            </w:r>
          </w:p>
        </w:tc>
        <w:tc>
          <w:tcPr/>
          <w:p>
            <w:pPr>
              <w:pStyle w:val="Compact"/>
              <w:jc w:val="left"/>
            </w:pPr>
            <w:r>
              <w:t xml:space="preserve">7,020,000.00</w:t>
            </w:r>
          </w:p>
        </w:tc>
        <w:tc>
          <w:tcPr/>
          <w:p>
            <w:pPr>
              <w:pStyle w:val="Compact"/>
              <w:jc w:val="left"/>
            </w:pPr>
            <w:r>
              <w:t xml:space="preserve">Must be delivered to AMRI Garki laboratory</w:t>
            </w:r>
          </w:p>
        </w:tc>
      </w:tr>
      <w:tr>
        <w:tc>
          <w:tcPr/>
          <w:p>
            <w:pPr>
              <w:pStyle w:val="Compact"/>
              <w:jc w:val="left"/>
            </w:pPr>
            <w:r>
              <w:t xml:space="preserve">3</w:t>
            </w:r>
          </w:p>
        </w:tc>
        <w:tc>
          <w:tcPr/>
          <w:p>
            <w:pPr>
              <w:pStyle w:val="Compact"/>
              <w:jc w:val="left"/>
            </w:pPr>
            <w:r>
              <w:t xml:space="preserve">Reagent Kit: RT-PCR Malaria Parasite Detection (500-test kits, lot-numbered, NAFDAC approved)</w:t>
            </w:r>
          </w:p>
        </w:tc>
        <w:tc>
          <w:tcPr/>
          <w:p>
            <w:pPr>
              <w:pStyle w:val="Compact"/>
              <w:jc w:val="left"/>
            </w:pPr>
            <w:r>
              <w:t xml:space="preserve">10</w:t>
            </w:r>
          </w:p>
        </w:tc>
        <w:tc>
          <w:tcPr/>
          <w:p>
            <w:pPr>
              <w:pStyle w:val="Compact"/>
              <w:jc w:val="left"/>
            </w:pPr>
            <w:r>
              <w:t xml:space="preserve">185,000.00</w:t>
            </w:r>
          </w:p>
        </w:tc>
        <w:tc>
          <w:tcPr/>
          <w:p>
            <w:pPr>
              <w:pStyle w:val="Compact"/>
              <w:jc w:val="left"/>
            </w:pPr>
            <w:r>
              <w:t xml:space="preserve">1,850,000.00</w:t>
            </w:r>
          </w:p>
        </w:tc>
        <w:tc>
          <w:tcPr/>
          <w:p>
            <w:pPr>
              <w:pStyle w:val="Compact"/>
              <w:jc w:val="left"/>
            </w:pPr>
            <w:r>
              <w:t xml:space="preserve">Shelf life minimum 18 months at delivery</w:t>
            </w:r>
          </w:p>
        </w:tc>
      </w:tr>
      <w:tr>
        <w:tc>
          <w:tcPr/>
          <w:p>
            <w:pPr>
              <w:pStyle w:val="Compact"/>
              <w:jc w:val="left"/>
            </w:pPr>
            <w:r>
              <w:t xml:space="preserve">4</w:t>
            </w:r>
          </w:p>
        </w:tc>
        <w:tc>
          <w:tcPr/>
          <w:p>
            <w:pPr>
              <w:pStyle w:val="Compact"/>
              <w:jc w:val="left"/>
            </w:pPr>
            <w:r>
              <w:t xml:space="preserve">Cell Culture Incubator, CO₂-controlled (37°C ± 0.5°C) – for in-vitro parasite culture by the Medical Researcher</w:t>
            </w:r>
          </w:p>
        </w:tc>
        <w:tc>
          <w:tcPr/>
          <w:p>
            <w:pPr>
              <w:pStyle w:val="Compact"/>
              <w:jc w:val="left"/>
            </w:pPr>
            <w:r>
              <w:t xml:space="preserve">1</w:t>
            </w:r>
          </w:p>
        </w:tc>
        <w:tc>
          <w:tcPr/>
          <w:p>
            <w:pPr>
              <w:pStyle w:val="Compact"/>
              <w:jc w:val="left"/>
            </w:pPr>
            <w:r>
              <w:t xml:space="preserve">3,670,000.00</w:t>
            </w:r>
          </w:p>
        </w:tc>
        <w:tc>
          <w:tcPr/>
          <w:p>
            <w:pPr>
              <w:pStyle w:val="Compact"/>
              <w:jc w:val="left"/>
            </w:pPr>
            <w:r>
              <w:t xml:space="preserve">3,670,000.00</w:t>
            </w:r>
          </w:p>
        </w:tc>
        <w:tc>
          <w:tcPr/>
          <w:p>
            <w:pPr>
              <w:pStyle w:val="Compact"/>
              <w:jc w:val="left"/>
            </w:pPr>
            <w:r>
              <w:t xml:space="preserve">Includes calibration certificate</w:t>
            </w:r>
          </w:p>
        </w:tc>
      </w:tr>
      <w:tr>
        <w:tc>
          <w:tcPr/>
          <w:p>
            <w:pPr>
              <w:pStyle w:val="Compact"/>
              <w:jc w:val="left"/>
            </w:pPr>
            <w:r>
              <w:t xml:space="preserve">5</w:t>
            </w:r>
          </w:p>
        </w:tc>
        <w:tc>
          <w:tcPr/>
          <w:p>
            <w:pPr>
              <w:pStyle w:val="Compact"/>
              <w:jc w:val="left"/>
            </w:pPr>
            <w:r>
              <w:t xml:space="preserve">Microscope, Inverted Phase-Contrast (Olympus CKX53 equivalent) with digital camera</w:t>
            </w:r>
          </w:p>
        </w:tc>
        <w:tc>
          <w:tcPr/>
          <w:p>
            <w:pPr>
              <w:pStyle w:val="Compact"/>
              <w:jc w:val="left"/>
            </w:pPr>
            <w:r>
              <w:t xml:space="preserve">2</w:t>
            </w:r>
          </w:p>
        </w:tc>
        <w:tc>
          <w:tcPr/>
          <w:p>
            <w:pPr>
              <w:pStyle w:val="Compact"/>
              <w:jc w:val="left"/>
            </w:pPr>
            <w:r>
              <w:t xml:space="preserve">1,920,000.00</w:t>
            </w:r>
          </w:p>
        </w:tc>
        <w:tc>
          <w:tcPr/>
          <w:p>
            <w:pPr>
              <w:pStyle w:val="Compact"/>
              <w:jc w:val="left"/>
            </w:pPr>
            <w:r>
              <w:t xml:space="preserve">3,840,000.00</w:t>
            </w:r>
          </w:p>
        </w:tc>
        <w:tc>
          <w:tcPr/>
          <w:p>
            <w:pPr>
              <w:pStyle w:val="Compact"/>
              <w:jc w:val="left"/>
            </w:pPr>
            <w:r>
              <w:t xml:space="preserve">For parasite morphology documentation</w:t>
            </w:r>
          </w:p>
        </w:tc>
      </w:tr>
      <w:tr>
        <w:tc>
          <w:tcPr/>
          <w:p>
            <w:pPr>
              <w:pStyle w:val="Compact"/>
              <w:jc w:val="left"/>
            </w:pPr>
            <w:r>
              <w:t xml:space="preserve">6</w:t>
            </w:r>
          </w:p>
        </w:tc>
        <w:tc>
          <w:tcPr/>
          <w:p>
            <w:pPr>
              <w:pStyle w:val="Compact"/>
              <w:jc w:val="left"/>
            </w:pPr>
            <w:r>
              <w:t xml:space="preserve">Consumables: PCR tubes, tips, gels, electrophoresis buffers (12-month supply for the Medical Researcher's lab)</w:t>
            </w:r>
          </w:p>
        </w:tc>
        <w:tc>
          <w:tcPr/>
          <w:p>
            <w:pPr>
              <w:pStyle w:val="Compact"/>
              <w:jc w:val="left"/>
            </w:pPr>
            <w:r>
              <w:t xml:space="preserve">1</w:t>
            </w:r>
          </w:p>
        </w:tc>
        <w:tc>
          <w:tcPr/>
          <w:p>
            <w:pPr>
              <w:pStyle w:val="Compact"/>
              <w:jc w:val="left"/>
            </w:pPr>
            <w:r>
              <w:t xml:space="preserve">1,240,000.00</w:t>
            </w:r>
          </w:p>
        </w:tc>
        <w:tc>
          <w:tcPr/>
          <w:p>
            <w:pPr>
              <w:pStyle w:val="Compact"/>
              <w:jc w:val="left"/>
            </w:pPr>
            <w:r>
              <w:t xml:space="preserve">1,240,000.00</w:t>
            </w:r>
          </w:p>
        </w:tc>
        <w:tc>
          <w:tcPr/>
          <w:p>
            <w:pPr>
              <w:pStyle w:val="Compact"/>
              <w:jc w:val="left"/>
            </w:pPr>
            <w:r>
              <w:t xml:space="preserve">Bulk order, single delivery</w:t>
            </w:r>
          </w:p>
        </w:tc>
      </w:tr>
      <w:tr>
        <w:tc>
          <w:tcPr/>
          <w:p>
            <w:pPr>
              <w:pStyle w:val="Compact"/>
              <w:jc w:val="left"/>
            </w:pPr>
            <w:r>
              <w:t xml:space="preserve">7</w:t>
            </w:r>
          </w:p>
        </w:tc>
        <w:tc>
          <w:tcPr/>
          <w:p>
            <w:pPr>
              <w:pStyle w:val="Compact"/>
              <w:jc w:val="left"/>
            </w:pPr>
            <w:r>
              <w:t xml:space="preserve">Personal Protective Equipment (PPE) – N95 masks, nitrile gloves, lab coats, safety goggles (annual supply for 12 research staff)</w:t>
            </w:r>
          </w:p>
        </w:tc>
        <w:tc>
          <w:tcPr/>
          <w:p>
            <w:pPr>
              <w:pStyle w:val="Compact"/>
              <w:jc w:val="left"/>
            </w:pPr>
            <w:r>
              <w:t xml:space="preserve">1</w:t>
            </w:r>
          </w:p>
        </w:tc>
        <w:tc>
          <w:tcPr/>
          <w:p>
            <w:pPr>
              <w:pStyle w:val="Compact"/>
              <w:jc w:val="left"/>
            </w:pPr>
            <w:r>
              <w:t xml:space="preserve">480,000.00</w:t>
            </w:r>
          </w:p>
        </w:tc>
        <w:tc>
          <w:tcPr/>
          <w:p>
            <w:pPr>
              <w:pStyle w:val="Compact"/>
              <w:jc w:val="left"/>
            </w:pPr>
            <w:r>
              <w:t xml:space="preserve">480,000.00</w:t>
            </w:r>
          </w:p>
        </w:tc>
        <w:tc>
          <w:tcPr/>
          <w:p>
            <w:pPr>
              <w:pStyle w:val="Compact"/>
              <w:jc w:val="left"/>
            </w:pPr>
            <w:r>
              <w:t xml:space="preserve">Compliant with WHO biosafety guidelines</w:t>
            </w:r>
          </w:p>
        </w:tc>
      </w:tr>
      <w:tr>
        <w:tc>
          <w:tcPr/>
          <w:p>
            <w:pPr>
              <w:pStyle w:val="Compact"/>
              <w:jc w:val="left"/>
            </w:pPr>
            <w:r>
              <w:t xml:space="preserve">8</w:t>
            </w:r>
          </w:p>
        </w:tc>
        <w:tc>
          <w:tcPr/>
          <w:p>
            <w:pPr>
              <w:pStyle w:val="Compact"/>
              <w:jc w:val="left"/>
            </w:pPr>
            <w:r>
              <w:t xml:space="preserve">Software License: Bioinformatics Analysis Suite (Genome Workbench, 5-user, 3-year subscription)</w:t>
            </w:r>
          </w:p>
        </w:tc>
        <w:tc>
          <w:tcPr/>
          <w:p>
            <w:pPr>
              <w:pStyle w:val="Compact"/>
              <w:jc w:val="left"/>
            </w:pPr>
            <w:r>
              <w:t xml:space="preserve">1</w:t>
            </w:r>
          </w:p>
        </w:tc>
        <w:tc>
          <w:tcPr/>
          <w:p>
            <w:pPr>
              <w:pStyle w:val="Compact"/>
              <w:jc w:val="left"/>
            </w:pPr>
            <w:r>
              <w:t xml:space="preserve">2,100,000.00</w:t>
            </w:r>
          </w:p>
        </w:tc>
        <w:tc>
          <w:tcPr/>
          <w:p>
            <w:pPr>
              <w:pStyle w:val="Compact"/>
              <w:jc w:val="left"/>
            </w:pPr>
            <w:r>
              <w:t xml:space="preserve">2,100,000.00</w:t>
            </w:r>
          </w:p>
        </w:tc>
        <w:tc>
          <w:tcPr/>
          <w:p>
            <w:pPr>
              <w:pStyle w:val="Compact"/>
              <w:jc w:val="left"/>
            </w:pPr>
            <w:r>
              <w:t xml:space="preserve">For genomic sequencing data analysis by the Medical Researcher</w:t>
            </w:r>
          </w:p>
        </w:tc>
      </w:tr>
      <w:tr>
        <w:tc>
          <w:tcPr>
            <w:gridSpan w:val="4"/>
          </w:tcPr>
          <w:p>
            <w:pPr>
              <w:pStyle w:val="Compact"/>
              <w:jc w:val="left"/>
            </w:pPr>
            <w:r>
              <w:rPr>
                <w:bCs/>
                <w:b/>
              </w:rPr>
              <w:t xml:space="preserve">GRAND TOTAL (NGN)</w:t>
            </w:r>
          </w:p>
        </w:tc>
        <w:tc>
          <w:tcPr/>
          <w:p>
            <w:pPr>
              <w:pStyle w:val="Compact"/>
              <w:jc w:val="left"/>
            </w:pPr>
            <w:r>
              <w:rPr>
                <w:bCs/>
                <w:b/>
              </w:rPr>
              <w:t xml:space="preserve">29,900,000.00</w:t>
            </w:r>
          </w:p>
        </w:tc>
        <w:tc>
          <w:tcPr/>
          <w:p>
            <w:pPr>
              <w:pStyle w:val="Compact"/>
            </w:pPr>
          </w:p>
        </w:tc>
      </w:tr>
      <w:tr>
        <w:tc>
          <w:tcPr>
            <w:gridSpan w:val="4"/>
          </w:tcPr>
          <w:p>
            <w:pPr>
              <w:pStyle w:val="Compact"/>
              <w:jc w:val="left"/>
            </w:pPr>
            <w:r>
              <w:rPr>
                <w:bCs/>
                <w:b/>
              </w:rPr>
              <w:t xml:space="preserve">VAT (7.5%)</w:t>
            </w:r>
          </w:p>
        </w:tc>
        <w:tc>
          <w:tcPr/>
          <w:p>
            <w:pPr>
              <w:pStyle w:val="Compact"/>
              <w:jc w:val="left"/>
            </w:pPr>
            <w:r>
              <w:rPr>
                <w:bCs/>
                <w:b/>
              </w:rPr>
              <w:t xml:space="preserve">2,242,500.00</w:t>
            </w:r>
          </w:p>
        </w:tc>
        <w:tc>
          <w:tcPr/>
          <w:p>
            <w:pPr>
              <w:pStyle w:val="Compact"/>
            </w:pPr>
          </w:p>
        </w:tc>
      </w:tr>
      <w:tr>
        <w:tc>
          <w:tcPr>
            <w:gridSpan w:val="4"/>
          </w:tcPr>
          <w:p>
            <w:pPr>
              <w:pStyle w:val="Compact"/>
              <w:jc w:val="left"/>
            </w:pPr>
            <w:r>
              <w:rPr>
                <w:bCs/>
                <w:b/>
              </w:rPr>
              <w:t xml:space="preserve">DELIVERY &amp; INSTALLATION (Abuja, FCT)</w:t>
            </w:r>
          </w:p>
        </w:tc>
        <w:tc>
          <w:tcPr/>
          <w:p>
            <w:pPr>
              <w:pStyle w:val="Compact"/>
              <w:jc w:val="left"/>
            </w:pPr>
            <w:r>
              <w:rPr>
                <w:bCs/>
                <w:b/>
              </w:rPr>
              <w:t xml:space="preserve">350,000.00</w:t>
            </w:r>
          </w:p>
        </w:tc>
        <w:tc>
          <w:tcPr/>
          <w:p>
            <w:pPr>
              <w:pStyle w:val="Compact"/>
            </w:pPr>
          </w:p>
        </w:tc>
      </w:tr>
      <w:tr>
        <w:tc>
          <w:tcPr>
            <w:gridSpan w:val="4"/>
          </w:tcPr>
          <w:p>
            <w:pPr>
              <w:pStyle w:val="Compact"/>
              <w:jc w:val="left"/>
            </w:pPr>
            <w:r>
              <w:rPr>
                <w:bCs/>
                <w:b/>
              </w:rPr>
              <w:t xml:space="preserve">NET PAYABLE AMOUNT (NGN)</w:t>
            </w:r>
          </w:p>
        </w:tc>
        <w:tc>
          <w:tcPr/>
          <w:p>
            <w:pPr>
              <w:pStyle w:val="Compact"/>
              <w:jc w:val="left"/>
            </w:pPr>
            <w:r>
              <w:rPr>
                <w:bCs/>
                <w:b/>
              </w:rPr>
              <w:t xml:space="preserve">32,492,500.00</w:t>
            </w:r>
          </w:p>
        </w:tc>
        <w:tc>
          <w:tcPr/>
          <w:p>
            <w:pPr>
              <w:pStyle w:val="Compact"/>
            </w:pPr>
          </w:p>
        </w:tc>
      </w:tr>
    </w:tbl>
    <w:p>
      <w:pPr>
        <w:pStyle w:val="BodyText"/>
      </w:pPr>
      <w:r>
        <w:t xml:space="preserve">5. TERMS AND CONDITIONS</w:t>
      </w:r>
    </w:p>
    <w:p>
      <w:pPr>
        <w:numPr>
          <w:ilvl w:val="0"/>
          <w:numId w:val="1001"/>
        </w:numPr>
        <w:pStyle w:val="Compact"/>
      </w:pPr>
      <w:r>
        <w:rPr>
          <w:bCs/>
          <w:b/>
        </w:rPr>
        <w:t xml:space="preserve">Delivery:</w:t>
      </w:r>
      <w:r>
        <w:t xml:space="preserve"> </w:t>
      </w:r>
      <w:r>
        <w:t xml:space="preserve">All items under this Purchase Order shall be delivered to the Abuja Medical Research Institute, Plot 14, Area 9, Garki, Abuja, FCT, Nigeria, no later than 28 June 2025. The supplier is responsible for all logistics, customs clearance (where applicable for imported goods), and installation within the Nigeria Abuja premises.</w:t>
      </w:r>
    </w:p>
    <w:p>
      <w:pPr>
        <w:numPr>
          <w:ilvl w:val="0"/>
          <w:numId w:val="1001"/>
        </w:numPr>
        <w:pStyle w:val="Compact"/>
      </w:pPr>
      <w:r>
        <w:rPr>
          <w:bCs/>
          <w:b/>
        </w:rPr>
        <w:t xml:space="preserve">Quality Assurance:</w:t>
      </w:r>
      <w:r>
        <w:t xml:space="preserve"> </w:t>
      </w:r>
      <w:r>
        <w:t xml:space="preserve">The Medical Researcher, Dr. Emeka Nwosu, reserves the right to inspect and test all delivered equipment and reagents upon arrival. Any item found to be defective, expired, or non-conforming to the specifications stated in this Purchase Order shall be replaced at the supplier's sole expense within seven (7) working days.</w:t>
      </w:r>
    </w:p>
    <w:p>
      <w:pPr>
        <w:numPr>
          <w:ilvl w:val="0"/>
          <w:numId w:val="1001"/>
        </w:numPr>
        <w:pStyle w:val="Compact"/>
      </w:pPr>
      <w:r>
        <w:rPr>
          <w:bCs/>
          <w:b/>
        </w:rPr>
        <w:t xml:space="preserve">Payment:</w:t>
      </w:r>
      <w:r>
        <w:t xml:space="preserve"> </w:t>
      </w:r>
      <w:r>
        <w:t xml:space="preserve">Payment of the full net amount of NGN 32,492,500.00 shall be made within thirty (30) calendar days from the date of successful delivery and acceptance, via bank transfer to the supplier's designated account. The Medical Researcher's department must issue a written acceptance certificate before the payment clock begins.</w:t>
      </w:r>
    </w:p>
    <w:p>
      <w:pPr>
        <w:numPr>
          <w:ilvl w:val="0"/>
          <w:numId w:val="1001"/>
        </w:numPr>
        <w:pStyle w:val="Compact"/>
      </w:pPr>
      <w:r>
        <w:rPr>
          <w:bCs/>
          <w:b/>
        </w:rPr>
        <w:t xml:space="preserve">Warranty:</w:t>
      </w:r>
      <w:r>
        <w:t xml:space="preserve"> </w:t>
      </w:r>
      <w:r>
        <w:t xml:space="preserve">All capital equipment carries a minimum two-year comprehensive warranty covering parts, labour, and on-site service in Nigeria Abuja. Reagents and consumables must have a minimum shelf life of eighteen (18) months from the date of delivery.</w:t>
      </w:r>
    </w:p>
    <w:p>
      <w:pPr>
        <w:numPr>
          <w:ilvl w:val="0"/>
          <w:numId w:val="1001"/>
        </w:numPr>
        <w:pStyle w:val="Compact"/>
      </w:pPr>
      <w:r>
        <w:rPr>
          <w:bCs/>
          <w:b/>
        </w:rPr>
        <w:t xml:space="preserve">Regulatory Compliance:</w:t>
      </w:r>
      <w:r>
        <w:t xml:space="preserve"> </w:t>
      </w:r>
      <w:r>
        <w:t xml:space="preserve">The supplier warrants that all biological reagents, kits, and diagnostic materials comply with NAFAC/NAFDAC regulations in force in Nigeria Abuja. Copies of all relevant permits, certificates of analysis, and import documentation must accompany the delivery.</w:t>
      </w:r>
    </w:p>
    <w:p>
      <w:pPr>
        <w:numPr>
          <w:ilvl w:val="0"/>
          <w:numId w:val="1001"/>
        </w:numPr>
        <w:pStyle w:val="Compact"/>
      </w:pPr>
      <w:r>
        <w:rPr>
          <w:bCs/>
          <w:b/>
        </w:rPr>
        <w:t xml:space="preserve">Intellectual Property:</w:t>
      </w:r>
      <w:r>
        <w:t xml:space="preserve"> </w:t>
      </w:r>
      <w:r>
        <w:t xml:space="preserve">All data generated by the Medical Researcher using the procured equipment remains the exclusive property of the Abuja Medical Research Institute. The supplier shall not claim any rights over research outputs.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government policy changes in Nigeria, natural disasters, or pandemics, provided written notice is given within 48 hours of the event.</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Federal Republic of Nigeria. Any disputes shall be resolved through arbitration in Abuja, FCT, in accordance with the Arbitration and Conciliation Act, Cap A18, LFN 2004.</w:t>
      </w:r>
    </w:p>
    <w:p>
      <w:pPr>
        <w:numPr>
          <w:ilvl w:val="0"/>
          <w:numId w:val="1001"/>
        </w:numPr>
        <w:pStyle w:val="Compact"/>
      </w:pPr>
      <w:r>
        <w:rPr>
          <w:bCs/>
          <w:b/>
        </w:rPr>
        <w:t xml:space="preserve">Validity:</w:t>
      </w:r>
      <w:r>
        <w:t xml:space="preserve"> </w:t>
      </w:r>
      <w:r>
        <w:t xml:space="preserve">This Purchase Order is valid for sixty (60) days from the date of issue. If the supplier does not confirm acceptance in writing within fourteen (14) days, this Purchase Order shall lapse automatically.</w:t>
      </w:r>
    </w:p>
    <w:p>
      <w:pPr>
        <w:pStyle w:val="FirstParagraph"/>
      </w:pPr>
      <w:r>
        <w:rPr>
          <w:bCs/>
          <w:b/>
        </w:rPr>
        <w:t xml:space="preserve">NOTE:</w:t>
      </w:r>
      <w:r>
        <w:t xml:space="preserve"> </w:t>
      </w:r>
      <w:r>
        <w:t xml:space="preserve">This Purchase Order was prepared at the specific request of the Medical Researcher, Dr. Emeka Nwosu, Principal Investigator, Malaria Genomics Unit, Abuja Medical Research Institute. All items have been vetted by the AMRI Procurement Committee and approved by the Director of Research. The supplier is reminded that failure to meet the delivery deadline in Nigeria Abuja may result in a penalty of 1% of the total contract value per day of delay, up to a maximum of 10%.</w:t>
      </w:r>
    </w:p>
    <w:p>
      <w:pPr>
        <w:pStyle w:val="BodyText"/>
      </w:pPr>
      <w:r>
        <w:t xml:space="preserve">6. AUTHORIZATION AND ACCEPTANCE</w:t>
      </w:r>
    </w:p>
    <w:p>
      <w:pPr>
        <w:pStyle w:val="BodyText"/>
      </w:pPr>
      <w:r>
        <w:rPr>
          <w:bCs/>
          <w:b/>
        </w:rPr>
        <w:t xml:space="preserve">For and on behalf of the Buyer:</w:t>
      </w:r>
    </w:p>
    <w:p>
      <w:pPr>
        <w:pStyle w:val="BodyText"/>
      </w:pPr>
      <w:r>
        <w:t xml:space="preserve">Abuja Medical Research Institute</w:t>
      </w:r>
    </w:p>
    <w:p>
      <w:pPr>
        <w:pStyle w:val="BodyText"/>
      </w:pPr>
      <w:r>
        <w:rPr>
          <w:bCs/>
          <w:b/>
        </w:rPr>
        <w:t xml:space="preserve">Name:</w:t>
      </w:r>
      <w:r>
        <w:t xml:space="preserve"> </w:t>
      </w:r>
      <w:r>
        <w:t xml:space="preserve">Dr. Amina Yusuf</w:t>
      </w:r>
      <w:r>
        <w:br/>
      </w:r>
      <w:r>
        <w:rPr>
          <w:bCs/>
          <w:b/>
        </w:rPr>
        <w:t xml:space="preserve">Title:</w:t>
      </w:r>
      <w:r>
        <w:t xml:space="preserve"> </w:t>
      </w:r>
      <w:r>
        <w:t xml:space="preserve">Head of Research Procurement</w:t>
      </w:r>
      <w:r>
        <w:br/>
      </w:r>
      <w:r>
        <w:rPr>
          <w:bCs/>
          <w:b/>
        </w:rPr>
        <w:t xml:space="preserve">Signature:</w:t>
      </w:r>
      <w:r>
        <w:t xml:space="preserve"> </w:t>
      </w:r>
      <w:r>
        <w:t xml:space="preserve">_________________________</w:t>
      </w:r>
      <w:r>
        <w:br/>
      </w:r>
      <w:r>
        <w:rPr>
          <w:bCs/>
          <w:b/>
        </w:rPr>
        <w:t xml:space="preserve">Date:</w:t>
      </w:r>
      <w:r>
        <w:t xml:space="preserve"> </w:t>
      </w:r>
      <w:r>
        <w:t xml:space="preserve">12 June 2025</w:t>
      </w:r>
    </w:p>
    <w:p>
      <w:pPr>
        <w:pStyle w:val="BodyText"/>
      </w:pPr>
      <w:r>
        <w:rPr>
          <w:bCs/>
          <w:b/>
        </w:rPr>
        <w:t xml:space="preserve">For and on behalf of the Supplier:</w:t>
      </w:r>
    </w:p>
    <w:p>
      <w:pPr>
        <w:pStyle w:val="BodyText"/>
      </w:pPr>
      <w:r>
        <w:t xml:space="preserve">MedLab Scientific Supplies (Nigeria) Ltd.</w:t>
      </w:r>
    </w:p>
    <w:p>
      <w:pPr>
        <w:pStyle w:val="BodyText"/>
      </w:pPr>
      <w:r>
        <w:rPr>
          <w:bCs/>
          <w:b/>
        </w:rPr>
        <w:t xml:space="preserve">Name:</w:t>
      </w:r>
      <w:r>
        <w:t xml:space="preserve"> </w:t>
      </w:r>
      <w:r>
        <w:t xml:space="preserve">Mr. Chukwuemeka Obi</w:t>
      </w:r>
      <w:r>
        <w:br/>
      </w:r>
      <w:r>
        <w:rPr>
          <w:bCs/>
          <w:b/>
        </w:rPr>
        <w:t xml:space="preserve">Title:</w:t>
      </w:r>
      <w:r>
        <w:t xml:space="preserve"> </w:t>
      </w:r>
      <w:r>
        <w:t xml:space="preserve">Sales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This Purchase Order document (AMRI/PO/2025/00472) is an official procurement record of the Abuja Medical Research Institute, Nigeria Abuja. Unauthorized reproduction or distribution is prohibited. For queries, contact the Procurement Unit at procurement@amri-abuja.ng.</w:t>
      </w:r>
    </w:p>
    <w:p>
      <w:pPr>
        <w:pStyle w:val="BodyText"/>
      </w:pPr>
      <w:r>
        <w:t xml:space="preserve">Page 1 of 1 | Generated: 12 June 2025 | Classification: Internal –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Nigeria Abuja</dc:title>
  <dc:creator/>
  <dc:language>en</dc:language>
  <cp:keywords/>
  <dcterms:created xsi:type="dcterms:W3CDTF">2026-10-10T02:44:59Z</dcterms:created>
  <dcterms:modified xsi:type="dcterms:W3CDTF">2026-10-10T02:44:59Z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