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Instituto de Investigación Biomédica del Pacífico</w:t>
      </w:r>
    </w:p>
    <w:p>
      <w:pPr>
        <w:pStyle w:val="BodyText"/>
      </w:pPr>
      <w:r>
        <w:t xml:space="preserve">Av. Javier Prado Este 4800, San Isidro,</w:t>
      </w:r>
      <w:r>
        <w:t xml:space="preserve"> </w:t>
      </w:r>
      <w:r>
        <w:t xml:space="preserve">Peru Lima</w:t>
      </w:r>
      <w:r>
        <w:t xml:space="preserve">, 15087</w:t>
      </w:r>
    </w:p>
    <w:p>
      <w:pPr>
        <w:pStyle w:val="BodyText"/>
      </w:pPr>
      <w:r>
        <w:t xml:space="preserve">RUC: 20587431290 | Tel: +51 1 445-6789 | Email: procurement@iibp.gob.pe</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Requested By:</w:t>
      </w:r>
      <w:r>
        <w:t xml:space="preserve"> </w:t>
      </w:r>
      <w:r>
        <w:t xml:space="preserve">Dr. Elena Vásquez Mendoza</w:t>
      </w:r>
    </w:p>
    <w:p>
      <w:pPr>
        <w:pStyle w:val="BodyText"/>
      </w:pPr>
      <w:r>
        <w:rPr>
          <w:bCs/>
          <w:b/>
        </w:rPr>
        <w:t xml:space="preserve">Title:</w:t>
      </w:r>
      <w:r>
        <w:t xml:space="preserve"> </w:t>
      </w:r>
      <w:r>
        <w:t xml:space="preserve">Lead</w:t>
      </w:r>
      <w:r>
        <w:t xml:space="preserve"> </w:t>
      </w:r>
      <w:r>
        <w:t xml:space="preserve">Medical Researcher</w:t>
      </w:r>
    </w:p>
    <w:p>
      <w:pPr>
        <w:pStyle w:val="BodyText"/>
      </w:pPr>
      <w:r>
        <w:rPr>
          <w:bCs/>
          <w:b/>
        </w:rPr>
        <w:t xml:space="preserve">Department:</w:t>
      </w:r>
      <w:r>
        <w:t xml:space="preserve"> </w:t>
      </w:r>
      <w:r>
        <w:t xml:space="preserve">Clinical Immunology &amp; Virology</w:t>
      </w:r>
    </w:p>
    <w:p>
      <w:pPr>
        <w:pStyle w:val="BodyText"/>
      </w:pPr>
      <w:r>
        <w:rPr>
          <w:bCs/>
          <w:b/>
        </w:rPr>
        <w:t xml:space="preserve">Supplier:</w:t>
      </w:r>
      <w:r>
        <w:t xml:space="preserve"> </w:t>
      </w:r>
      <w:r>
        <w:t xml:space="preserve">BioEquip South America S.A.C.</w:t>
      </w:r>
    </w:p>
    <w:p>
      <w:pPr>
        <w:pStyle w:val="BodyText"/>
      </w:pPr>
      <w:r>
        <w:rPr>
          <w:bCs/>
          <w:b/>
        </w:rPr>
        <w:t xml:space="preserve">Address:</w:t>
      </w:r>
      <w:r>
        <w:t xml:space="preserve"> </w:t>
      </w:r>
      <w:r>
        <w:t xml:space="preserve">Jr. Unión 215, Miraflores,</w:t>
      </w:r>
      <w:r>
        <w:t xml:space="preserve"> </w:t>
      </w:r>
      <w:r>
        <w:t xml:space="preserve">Peru Lima</w:t>
      </w:r>
    </w:p>
    <w:p>
      <w:pPr>
        <w:pStyle w:val="BodyText"/>
      </w:pPr>
      <w:r>
        <w:rPr>
          <w:bCs/>
          <w:b/>
        </w:rPr>
        <w:t xml:space="preserve">RUC:</w:t>
      </w:r>
      <w:r>
        <w:t xml:space="preserve"> </w:t>
      </w:r>
      <w:r>
        <w:t xml:space="preserve">20601234567</w:t>
      </w:r>
    </w:p>
    <w:p>
      <w:pPr>
        <w:pStyle w:val="BodyText"/>
      </w:pPr>
      <w:r>
        <w:t xml:space="preserve">PURCHASE ORDER DETAILS – MEDICAL RESEARCHER LABORATORY EQUIPMENT</w:t>
      </w:r>
    </w:p>
    <w:p>
      <w:pPr>
        <w:pStyle w:val="BodyText"/>
      </w:pPr>
      <w:r>
        <w:t xml:space="preserve">This</w:t>
      </w:r>
      <w:r>
        <w:t xml:space="preserve"> </w:t>
      </w:r>
      <w:r>
        <w:t xml:space="preserve">Purchase Order</w:t>
      </w:r>
      <w:r>
        <w:t xml:space="preserve"> </w:t>
      </w:r>
      <w:r>
        <w:t xml:space="preserve">is issued by the Instituto de Investigación Biomédica del Pacífico to procure specialized laboratory equipment, reagents, and consumables required for the ongoing clinical research program led by our principal</w:t>
      </w:r>
      <w:r>
        <w:t xml:space="preserve"> </w:t>
      </w:r>
      <w:r>
        <w:t xml:space="preserve">Medical Researcher</w:t>
      </w:r>
      <w:r>
        <w:t xml:space="preserve">, Dr. Elena Vásquez Mendoza. The research project, titled "Novel Antiviral Pathways in Tropical Endemic Diseases," is conducted at the primary research facility located in the San Isidro district of</w:t>
      </w:r>
      <w:r>
        <w:t xml:space="preserve"> </w:t>
      </w:r>
      <w:r>
        <w:t xml:space="preserve">Peru Lima</w:t>
      </w:r>
      <w:r>
        <w:t xml:space="preserve">. All items listed below are essential for the continuation of peer-reviewed medical research and must comply with the regulatory standards established by DIGEMID (Dirección General de Medicamentos, Insumos y Productos Sanitarios) and the Peruvian Ministry of Health (MINSA).</w:t>
      </w:r>
    </w:p>
    <w:p>
      <w:pPr>
        <w:pStyle w:val="BodyText"/>
      </w:pPr>
      <w:r>
        <w:t xml:space="preserve">LINE ITEMS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Part / Catalog No.</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Real-Time PCR Thermal Cycler (96-well), calibrated for</w:t>
            </w:r>
            <w:r>
              <w:t xml:space="preserve"> </w:t>
            </w:r>
            <w:r>
              <w:t xml:space="preserve">Medical Researcher</w:t>
            </w:r>
            <w:r>
              <w:t xml:space="preserve"> </w:t>
            </w:r>
            <w:r>
              <w:t xml:space="preserve">use in viral load quantification</w:t>
            </w:r>
          </w:p>
        </w:tc>
        <w:tc>
          <w:tcPr/>
          <w:p>
            <w:pPr>
              <w:pStyle w:val="Compact"/>
              <w:jc w:val="left"/>
            </w:pPr>
            <w:r>
              <w:t xml:space="preserve">RT-PCR-96X</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Biosafety Cabinet Class II A2, 4-foot, for handling pathogenic samples in</w:t>
            </w:r>
            <w:r>
              <w:t xml:space="preserve"> </w:t>
            </w:r>
            <w:r>
              <w:t xml:space="preserve">Peru Lima</w:t>
            </w:r>
            <w:r>
              <w:t xml:space="preserve"> </w:t>
            </w:r>
            <w:r>
              <w:t xml:space="preserve">laboratory</w:t>
            </w:r>
          </w:p>
        </w:tc>
        <w:tc>
          <w:tcPr/>
          <w:p>
            <w:pPr>
              <w:pStyle w:val="Compact"/>
              <w:jc w:val="left"/>
            </w:pPr>
            <w:r>
              <w:t xml:space="preserve">BSL-2A2-4F</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Centrifuge, ultracentrifuge 100,000 RPM, for protein isolation by</w:t>
            </w:r>
            <w:r>
              <w:t xml:space="preserve"> </w:t>
            </w:r>
            <w:r>
              <w:t xml:space="preserve">Medical Researcher</w:t>
            </w:r>
            <w:r>
              <w:t xml:space="preserve"> </w:t>
            </w:r>
            <w:r>
              <w:t xml:space="preserve">team</w:t>
            </w:r>
          </w:p>
        </w:tc>
        <w:tc>
          <w:tcPr/>
          <w:p>
            <w:pPr>
              <w:pStyle w:val="Compact"/>
              <w:jc w:val="left"/>
            </w:pPr>
            <w:r>
              <w:t xml:space="preserve">UC-100K</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c>
          <w:tcPr/>
          <w:p>
            <w:pPr>
              <w:pStyle w:val="Compact"/>
              <w:jc w:val="left"/>
            </w:pPr>
            <w:r>
              <w:t xml:space="preserve">60 days</w:t>
            </w:r>
          </w:p>
        </w:tc>
      </w:tr>
      <w:tr>
        <w:tc>
          <w:tcPr/>
          <w:p>
            <w:pPr>
              <w:pStyle w:val="Compact"/>
              <w:jc w:val="left"/>
            </w:pPr>
            <w:r>
              <w:t xml:space="preserve">4</w:t>
            </w:r>
          </w:p>
        </w:tc>
        <w:tc>
          <w:tcPr/>
          <w:p>
            <w:pPr>
              <w:pStyle w:val="Compact"/>
              <w:jc w:val="left"/>
            </w:pPr>
            <w:r>
              <w:t xml:space="preserve">Fluorescence Microscope with confocal imaging module, for cellular-level immunological studies</w:t>
            </w:r>
          </w:p>
        </w:tc>
        <w:tc>
          <w:tcPr/>
          <w:p>
            <w:pPr>
              <w:pStyle w:val="Compact"/>
              <w:jc w:val="left"/>
            </w:pPr>
            <w:r>
              <w:t xml:space="preserve">FM-CONF-2025</w:t>
            </w:r>
          </w:p>
        </w:tc>
        <w:tc>
          <w:tcPr/>
          <w:p>
            <w:pPr>
              <w:pStyle w:val="Compact"/>
              <w:jc w:val="left"/>
            </w:pPr>
            <w:r>
              <w:t xml:space="preserve">1</w:t>
            </w:r>
          </w:p>
        </w:tc>
        <w:tc>
          <w:tcPr/>
          <w:p>
            <w:pPr>
              <w:pStyle w:val="Compact"/>
              <w:jc w:val="left"/>
            </w:pPr>
            <w:r>
              <w:t xml:space="preserve">56,700.00</w:t>
            </w:r>
          </w:p>
        </w:tc>
        <w:tc>
          <w:tcPr/>
          <w:p>
            <w:pPr>
              <w:pStyle w:val="Compact"/>
              <w:jc w:val="left"/>
            </w:pPr>
            <w:r>
              <w:t xml:space="preserve">56,700.00</w:t>
            </w:r>
          </w:p>
        </w:tc>
        <w:tc>
          <w:tcPr/>
          <w:p>
            <w:pPr>
              <w:pStyle w:val="Compact"/>
              <w:jc w:val="left"/>
            </w:pPr>
            <w:r>
              <w:t xml:space="preserve">45 days</w:t>
            </w:r>
          </w:p>
        </w:tc>
      </w:tr>
      <w:tr>
        <w:tc>
          <w:tcPr/>
          <w:p>
            <w:pPr>
              <w:pStyle w:val="Compact"/>
              <w:jc w:val="left"/>
            </w:pPr>
            <w:r>
              <w:t xml:space="preserve">5</w:t>
            </w:r>
          </w:p>
        </w:tc>
        <w:tc>
          <w:tcPr/>
          <w:p>
            <w:pPr>
              <w:pStyle w:val="Compact"/>
              <w:jc w:val="left"/>
            </w:pPr>
            <w:r>
              <w:t xml:space="preserve">Reagent Kit – ELISA Multiplex Panel (25 analytes), 100 tests per kit, for</w:t>
            </w:r>
            <w:r>
              <w:t xml:space="preserve"> </w:t>
            </w:r>
            <w:r>
              <w:t xml:space="preserve">Medical Researcher</w:t>
            </w:r>
            <w:r>
              <w:t xml:space="preserve"> </w:t>
            </w:r>
            <w:r>
              <w:t xml:space="preserve">serological assays</w:t>
            </w:r>
          </w:p>
        </w:tc>
        <w:tc>
          <w:tcPr/>
          <w:p>
            <w:pPr>
              <w:pStyle w:val="Compact"/>
              <w:jc w:val="left"/>
            </w:pPr>
            <w:r>
              <w:t xml:space="preserve">ELISA-MX25-100</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Cell Culture Media, DMEM High Glucose, 500 mL bottles, for in-vitro tissue studies</w:t>
            </w:r>
          </w:p>
        </w:tc>
        <w:tc>
          <w:tcPr/>
          <w:p>
            <w:pPr>
              <w:pStyle w:val="Compact"/>
              <w:jc w:val="left"/>
            </w:pPr>
            <w:r>
              <w:t xml:space="preserve">DMEM-HG-500</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10 days</w:t>
            </w:r>
          </w:p>
        </w:tc>
      </w:tr>
      <w:tr>
        <w:tc>
          <w:tcPr/>
          <w:p>
            <w:pPr>
              <w:pStyle w:val="Compact"/>
              <w:jc w:val="left"/>
            </w:pPr>
            <w:r>
              <w:t xml:space="preserve">7</w:t>
            </w:r>
          </w:p>
        </w:tc>
        <w:tc>
          <w:tcPr/>
          <w:p>
            <w:pPr>
              <w:pStyle w:val="Compact"/>
              <w:jc w:val="left"/>
            </w:pPr>
            <w:r>
              <w:t xml:space="preserve">Personal Protective Equipment (PPE) – N95 respirators, nitrile gloves, lab coats, for</w:t>
            </w:r>
            <w:r>
              <w:t xml:space="preserve"> </w:t>
            </w:r>
            <w:r>
              <w:t xml:space="preserve">Medical Researcher</w:t>
            </w:r>
            <w:r>
              <w:t xml:space="preserve"> </w:t>
            </w:r>
            <w:r>
              <w:t xml:space="preserve">staff (annual supply)</w:t>
            </w:r>
          </w:p>
        </w:tc>
        <w:tc>
          <w:tcPr/>
          <w:p>
            <w:pPr>
              <w:pStyle w:val="Compact"/>
              <w:jc w:val="left"/>
            </w:pPr>
            <w:r>
              <w:t xml:space="preserve">PPE-ANNUAL-SET</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c>
          <w:tcPr/>
          <w:p>
            <w:pPr>
              <w:pStyle w:val="Compact"/>
              <w:jc w:val="left"/>
            </w:pPr>
            <w:r>
              <w:t xml:space="preserve">10 days</w:t>
            </w:r>
          </w:p>
        </w:tc>
      </w:tr>
      <w:tr>
        <w:tc>
          <w:tcPr/>
          <w:p>
            <w:pPr>
              <w:pStyle w:val="Compact"/>
              <w:jc w:val="left"/>
            </w:pPr>
            <w:r>
              <w:t xml:space="preserve">8</w:t>
            </w:r>
          </w:p>
        </w:tc>
        <w:tc>
          <w:tcPr/>
          <w:p>
            <w:pPr>
              <w:pStyle w:val="Compact"/>
              <w:jc w:val="left"/>
            </w:pPr>
            <w:r>
              <w:t xml:space="preserve">Lab Notebook &amp; Data Management Software License (5 users), for research documentation in</w:t>
            </w:r>
            <w:r>
              <w:t xml:space="preserve"> </w:t>
            </w:r>
            <w:r>
              <w:t xml:space="preserve">Peru Lima</w:t>
            </w:r>
            <w:r>
              <w:t xml:space="preserve"> </w:t>
            </w:r>
            <w:r>
              <w:t xml:space="preserve">facility</w:t>
            </w:r>
          </w:p>
        </w:tc>
        <w:tc>
          <w:tcPr/>
          <w:p>
            <w:pPr>
              <w:pStyle w:val="Compact"/>
              <w:jc w:val="left"/>
            </w:pPr>
            <w:r>
              <w:t xml:space="preserve">DM-SW-5U</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5 days</w:t>
            </w:r>
          </w:p>
        </w:tc>
      </w:tr>
      <w:tr>
        <w:tc>
          <w:tcPr/>
          <w:p>
            <w:pPr>
              <w:pStyle w:val="Compact"/>
              <w:jc w:val="left"/>
            </w:pPr>
            <w:r>
              <w:t xml:space="preserve">9</w:t>
            </w:r>
          </w:p>
        </w:tc>
        <w:tc>
          <w:tcPr/>
          <w:p>
            <w:pPr>
              <w:pStyle w:val="Compact"/>
              <w:jc w:val="left"/>
            </w:pPr>
            <w:r>
              <w:t xml:space="preserve">Autoclave, 120L capacity, for sterilization of laboratory waste and instruments</w:t>
            </w:r>
          </w:p>
        </w:tc>
        <w:tc>
          <w:tcPr/>
          <w:p>
            <w:pPr>
              <w:pStyle w:val="Compact"/>
              <w:jc w:val="left"/>
            </w:pPr>
            <w:r>
              <w:t xml:space="preserve">AC-120L</w:t>
            </w:r>
          </w:p>
        </w:tc>
        <w:tc>
          <w:tcPr/>
          <w:p>
            <w:pPr>
              <w:pStyle w:val="Compact"/>
              <w:jc w:val="left"/>
            </w:pPr>
            <w:r>
              <w:t xml:space="preserve">1</w:t>
            </w:r>
          </w:p>
        </w:tc>
        <w:tc>
          <w:tcPr/>
          <w:p>
            <w:pPr>
              <w:pStyle w:val="Compact"/>
              <w:jc w:val="left"/>
            </w:pPr>
            <w:r>
              <w:t xml:space="preserve">15,900.00</w:t>
            </w:r>
          </w:p>
        </w:tc>
        <w:tc>
          <w:tcPr/>
          <w:p>
            <w:pPr>
              <w:pStyle w:val="Compact"/>
              <w:jc w:val="left"/>
            </w:pPr>
            <w:r>
              <w:t xml:space="preserve">15,900.00</w:t>
            </w:r>
          </w:p>
        </w:tc>
        <w:tc>
          <w:tcPr/>
          <w:p>
            <w:pPr>
              <w:pStyle w:val="Compact"/>
              <w:jc w:val="left"/>
            </w:pPr>
            <w:r>
              <w:t xml:space="preserve">30 days</w:t>
            </w:r>
          </w:p>
        </w:tc>
      </w:tr>
      <w:tr>
        <w:tc>
          <w:tcPr/>
          <w:p>
            <w:pPr>
              <w:pStyle w:val="Compact"/>
              <w:jc w:val="left"/>
            </w:pPr>
            <w:r>
              <w:t xml:space="preserve">10</w:t>
            </w:r>
          </w:p>
        </w:tc>
        <w:tc>
          <w:tcPr/>
          <w:p>
            <w:pPr>
              <w:pStyle w:val="Compact"/>
              <w:jc w:val="left"/>
            </w:pPr>
            <w:r>
              <w:t xml:space="preserve">Installation, calibration, and operator training for all equipment listed above (performed at</w:t>
            </w:r>
            <w:r>
              <w:t xml:space="preserve"> </w:t>
            </w:r>
            <w:r>
              <w:t xml:space="preserve">Peru Lima</w:t>
            </w:r>
            <w:r>
              <w:t xml:space="preserve"> </w:t>
            </w:r>
            <w:r>
              <w:t xml:space="preserve">site)</w:t>
            </w:r>
          </w:p>
        </w:tc>
        <w:tc>
          <w:tcPr/>
          <w:p>
            <w:pPr>
              <w:pStyle w:val="Compact"/>
              <w:jc w:val="left"/>
            </w:pPr>
            <w:r>
              <w:t xml:space="preserve">SVC-INSTALL-TRN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 delivery</w:t>
            </w:r>
          </w:p>
        </w:tc>
      </w:tr>
      <w:tr>
        <w:tc>
          <w:tcPr>
            <w:gridSpan w:val="5"/>
          </w:tcPr>
          <w:p>
            <w:pPr>
              <w:pStyle w:val="Compact"/>
              <w:jc w:val="right"/>
            </w:pPr>
            <w:r>
              <w:t xml:space="preserve">Subtotal:</w:t>
            </w:r>
          </w:p>
        </w:tc>
        <w:tc>
          <w:tcPr/>
          <w:p>
            <w:pPr>
              <w:pStyle w:val="Compact"/>
              <w:jc w:val="left"/>
            </w:pPr>
            <w:r>
              <w:t xml:space="preserve">241,530.00</w:t>
            </w:r>
          </w:p>
        </w:tc>
        <w:tc>
          <w:tcPr/>
          <w:p>
            <w:pPr>
              <w:pStyle w:val="Compact"/>
            </w:pPr>
          </w:p>
        </w:tc>
      </w:tr>
      <w:tr>
        <w:tc>
          <w:tcPr>
            <w:gridSpan w:val="5"/>
          </w:tcPr>
          <w:p>
            <w:pPr>
              <w:pStyle w:val="Compact"/>
              <w:jc w:val="right"/>
            </w:pPr>
            <w:r>
              <w:t xml:space="preserve">IGV (18%):</w:t>
            </w:r>
          </w:p>
        </w:tc>
        <w:tc>
          <w:tcPr/>
          <w:p>
            <w:pPr>
              <w:pStyle w:val="Compact"/>
              <w:jc w:val="left"/>
            </w:pPr>
            <w:r>
              <w:t xml:space="preserve">43,475.40</w:t>
            </w:r>
          </w:p>
        </w:tc>
        <w:tc>
          <w:tcPr/>
          <w:p>
            <w:pPr>
              <w:pStyle w:val="Compact"/>
            </w:pPr>
          </w:p>
        </w:tc>
      </w:tr>
      <w:tr>
        <w:tc>
          <w:tcPr>
            <w:gridSpan w:val="5"/>
          </w:tcPr>
          <w:p>
            <w:pPr>
              <w:pStyle w:val="Compact"/>
              <w:jc w:val="right"/>
            </w:pPr>
            <w:r>
              <w:t xml:space="preserve">TOTAL (PEN):</w:t>
            </w:r>
          </w:p>
        </w:tc>
        <w:tc>
          <w:tcPr/>
          <w:p>
            <w:pPr>
              <w:pStyle w:val="Compact"/>
              <w:jc w:val="left"/>
            </w:pPr>
            <w:r>
              <w:t xml:space="preserve">285,005.40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items shall be delivered to the Instituto de Investigación Biomédica del Pacífico, Av. Javier Prado Este 4800, San Isidro,</w:t>
      </w:r>
      <w:r>
        <w:t xml:space="preserve"> </w:t>
      </w:r>
      <w:r>
        <w:t xml:space="preserve">Peru Lima</w:t>
      </w:r>
      <w:r>
        <w:t xml:space="preserve">, 15087. The supplier is responsible for all transportation, customs clearance (if applicable for imported goods), and insurance until the goods are received and signed for by the designated</w:t>
      </w:r>
      <w:r>
        <w:t xml:space="preserve"> </w:t>
      </w:r>
      <w:r>
        <w:t xml:space="preserve">Medical Researcher</w:t>
      </w:r>
      <w:r>
        <w:t xml:space="preserve"> </w:t>
      </w:r>
      <w:r>
        <w:t xml:space="preserve">or their authorized laboratory manager.</w:t>
      </w:r>
    </w:p>
    <w:p>
      <w:pPr>
        <w:numPr>
          <w:ilvl w:val="0"/>
          <w:numId w:val="1001"/>
        </w:numPr>
        <w:pStyle w:val="Compact"/>
      </w:pPr>
      <w:r>
        <w:rPr>
          <w:bCs/>
          <w:b/>
        </w:rPr>
        <w:t xml:space="preserve">Payment Terms:</w:t>
      </w:r>
      <w:r>
        <w:t xml:space="preserve"> </w:t>
      </w:r>
      <w:r>
        <w:t xml:space="preserve">Payment shall be made via bank transfer to the supplier's account within 30 calendar days from the date of invoice issuance, subject to satisfactory inspection and acceptance of all goods. A 40% advance payment will be released upon signing of this</w:t>
      </w:r>
      <w:r>
        <w:t xml:space="preserve"> </w:t>
      </w:r>
      <w:r>
        <w:t xml:space="preserve">Purchase Order</w:t>
      </w:r>
      <w:r>
        <w:t xml:space="preserve">, and the remaining 60% upon final delivery and commissioning.</w:t>
      </w:r>
    </w:p>
    <w:p>
      <w:pPr>
        <w:numPr>
          <w:ilvl w:val="0"/>
          <w:numId w:val="1001"/>
        </w:numPr>
        <w:pStyle w:val="Compact"/>
      </w:pPr>
      <w:r>
        <w:rPr>
          <w:bCs/>
          <w:b/>
        </w:rPr>
        <w:t xml:space="preserve">Warranty:</w:t>
      </w:r>
      <w:r>
        <w:t xml:space="preserve"> </w:t>
      </w:r>
      <w:r>
        <w:t xml:space="preserve">All equipment carries a minimum 24-month manufacturer's warranty from the date of installation. The</w:t>
      </w:r>
      <w:r>
        <w:t xml:space="preserve"> </w:t>
      </w:r>
      <w:r>
        <w:t xml:space="preserve">Medical Researcher</w:t>
      </w:r>
      <w:r>
        <w:t xml:space="preserve"> </w:t>
      </w:r>
      <w:r>
        <w:t xml:space="preserve">team will conduct a 72-hour operational test prior to final acceptance. Any defects discovered during this period must be rectified by the supplier at no additional cost.</w:t>
      </w:r>
    </w:p>
    <w:p>
      <w:pPr>
        <w:numPr>
          <w:ilvl w:val="0"/>
          <w:numId w:val="1001"/>
        </w:numPr>
        <w:pStyle w:val="Compact"/>
      </w:pPr>
      <w:r>
        <w:rPr>
          <w:bCs/>
          <w:b/>
        </w:rPr>
        <w:t xml:space="preserve">Regulatory Compliance:</w:t>
      </w:r>
      <w:r>
        <w:t xml:space="preserve"> </w:t>
      </w:r>
      <w:r>
        <w:t xml:space="preserve">All reagents, biological materials, and equipment must comply with Peruvian health regulations as enforced by DIGEMID and MINSA. The supplier must provide all necessary import permits, sanitary certificates, and technical documentation in Spanish and English.</w:t>
      </w:r>
    </w:p>
    <w:p>
      <w:pPr>
        <w:numPr>
          <w:ilvl w:val="0"/>
          <w:numId w:val="1001"/>
        </w:numPr>
        <w:pStyle w:val="Compact"/>
      </w:pPr>
      <w:r>
        <w:rPr>
          <w:bCs/>
          <w:b/>
        </w:rPr>
        <w:t xml:space="preserve">Training:</w:t>
      </w:r>
      <w:r>
        <w:t xml:space="preserve"> </w:t>
      </w:r>
      <w:r>
        <w:t xml:space="preserve">The supplier shall provide a minimum of 16 hours of on-site training for the</w:t>
      </w:r>
      <w:r>
        <w:t xml:space="preserve"> </w:t>
      </w:r>
      <w:r>
        <w:t xml:space="preserve">Medical Researcher</w:t>
      </w:r>
      <w:r>
        <w:t xml:space="preserve"> </w:t>
      </w:r>
      <w:r>
        <w:t xml:space="preserve">and up to four (4) laboratory technicians at the</w:t>
      </w:r>
      <w:r>
        <w:t xml:space="preserve"> </w:t>
      </w:r>
      <w:r>
        <w:t xml:space="preserve">Peru Lima</w:t>
      </w:r>
      <w:r>
        <w:t xml:space="preserve"> </w:t>
      </w:r>
      <w:r>
        <w:t xml:space="preserve">facility. Training materials must be provided in both Spanish and English.</w:t>
      </w:r>
    </w:p>
    <w:p>
      <w:pPr>
        <w:numPr>
          <w:ilvl w:val="0"/>
          <w:numId w:val="1001"/>
        </w:numPr>
        <w:pStyle w:val="Compact"/>
      </w:pPr>
      <w:r>
        <w:rPr>
          <w:bCs/>
          <w:b/>
        </w:rPr>
        <w:t xml:space="preserve">Penalties for Late Delivery:</w:t>
      </w:r>
      <w:r>
        <w:t xml:space="preserve"> </w:t>
      </w:r>
      <w:r>
        <w:t xml:space="preserve">A penalty of 0.5% of the total</w:t>
      </w:r>
      <w:r>
        <w:t xml:space="preserve"> </w:t>
      </w:r>
      <w:r>
        <w:t xml:space="preserve">Purchase Order</w:t>
      </w:r>
      <w:r>
        <w:t xml:space="preserve"> </w:t>
      </w:r>
      <w:r>
        <w:t xml:space="preserve">value per calendar day of delay shall apply, up to a maximum of 10%. Delays exceeding 30 days beyond the stated delivery window entitle the buyer to cancel this</w:t>
      </w:r>
      <w:r>
        <w:t xml:space="preserve"> </w:t>
      </w:r>
      <w:r>
        <w:t xml:space="preserve">Purchase Order</w:t>
      </w:r>
      <w:r>
        <w:t xml:space="preserve"> </w:t>
      </w:r>
      <w:r>
        <w:t xml:space="preserve">without penalty.</w:t>
      </w:r>
    </w:p>
    <w:p>
      <w:pPr>
        <w:numPr>
          <w:ilvl w:val="0"/>
          <w:numId w:val="1001"/>
        </w:numPr>
        <w:pStyle w:val="Compact"/>
      </w:pPr>
      <w:r>
        <w:rPr>
          <w:bCs/>
          <w:b/>
        </w:rPr>
        <w:t xml:space="preserve">Intellectual Property:</w:t>
      </w:r>
      <w:r>
        <w:t xml:space="preserve"> </w:t>
      </w:r>
      <w:r>
        <w:t xml:space="preserve">All data generated using the procured equipment in the course of the</w:t>
      </w:r>
      <w:r>
        <w:t xml:space="preserve"> </w:t>
      </w:r>
      <w:r>
        <w:t xml:space="preserve">Medical Researcher</w:t>
      </w:r>
      <w:r>
        <w:t xml:space="preserve">'s research project remains the exclusive property of the Instituto de Investigación Biomédica del Pacífico.</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Republic of Peru. Any disputes shall be resolved in the competent courts of</w:t>
      </w:r>
      <w:r>
        <w:t xml:space="preserve"> </w:t>
      </w:r>
      <w:r>
        <w:t xml:space="preserve">Peru Lima</w:t>
      </w:r>
      <w:r>
        <w:t xml:space="preserve">.</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supports the Q3 2025 research cycle of the Clinical Immunology &amp; Virology Department. The</w:t>
      </w:r>
      <w:r>
        <w:t xml:space="preserve"> </w:t>
      </w:r>
      <w:r>
        <w:t xml:space="preserve">Medical Researcher</w:t>
      </w:r>
      <w:r>
        <w:t xml:space="preserve"> </w:t>
      </w:r>
      <w:r>
        <w:t xml:space="preserve">in charge, Dr. Elena Vásquez Mendoza, has confirmed that all listed items are within the approved annual research budget (Resolution No. 0442-2025-MINSA). Delivery of all items is critical to meet the publication deadline of the associated research manuscript scheduled for September 2025.</w:t>
      </w:r>
    </w:p>
    <w:p>
      <w:pPr>
        <w:pStyle w:val="BodyText"/>
      </w:pPr>
      <w:r>
        <w:t xml:space="preserve">APPROVAL AND SIGNATURES</w:t>
      </w:r>
    </w:p>
    <w:p>
      <w:pPr>
        <w:pStyle w:val="BodyText"/>
      </w:pPr>
      <w:r>
        <w:rPr>
          <w:bCs/>
          <w:b/>
        </w:rPr>
        <w:t xml:space="preserve">Prepared By (Buyer):</w:t>
      </w:r>
    </w:p>
    <w:p>
      <w:pPr>
        <w:pStyle w:val="BodyText"/>
      </w:pPr>
      <w:r>
        <w:t xml:space="preserve">Dr. Elena Vásquez Mendoza</w:t>
      </w:r>
    </w:p>
    <w:p>
      <w:pPr>
        <w:pStyle w:val="BodyText"/>
      </w:pPr>
      <w:r>
        <w:t xml:space="preserve">Lead</w:t>
      </w:r>
      <w:r>
        <w:t xml:space="preserve"> </w:t>
      </w:r>
      <w:r>
        <w:t xml:space="preserve">Medical Researcher</w:t>
      </w:r>
    </w:p>
    <w:p>
      <w:pPr>
        <w:pStyle w:val="BodyText"/>
      </w:pPr>
      <w:r>
        <w:t xml:space="preserve">Date: _______________</w:t>
      </w:r>
    </w:p>
    <w:p>
      <w:pPr>
        <w:pStyle w:val="BodyText"/>
      </w:pPr>
      <w:r>
        <w:rPr>
          <w:bCs/>
          <w:b/>
        </w:rPr>
        <w:t xml:space="preserve">Authorized By (Institution):</w:t>
      </w:r>
    </w:p>
    <w:p>
      <w:pPr>
        <w:pStyle w:val="BodyText"/>
      </w:pPr>
      <w:r>
        <w:t xml:space="preserve">Ing. Ricardo Salazar Torres</w:t>
      </w:r>
    </w:p>
    <w:p>
      <w:pPr>
        <w:pStyle w:val="BodyText"/>
      </w:pPr>
      <w:r>
        <w:t xml:space="preserve">Director of Procurement, IIBP</w:t>
      </w:r>
    </w:p>
    <w:p>
      <w:pPr>
        <w:pStyle w:val="BodyText"/>
      </w:pPr>
      <w:r>
        <w:t xml:space="preserve">Date: _______________</w:t>
      </w:r>
    </w:p>
    <w:p>
      <w:pPr>
        <w:pStyle w:val="BodyText"/>
      </w:pPr>
      <w:r>
        <w:rPr>
          <w:bCs/>
          <w:b/>
        </w:rPr>
        <w:t xml:space="preserve">Accepted By (Supplier):</w:t>
      </w:r>
    </w:p>
    <w:p>
      <w:pPr>
        <w:pStyle w:val="BodyText"/>
      </w:pPr>
      <w:r>
        <w:t xml:space="preserve">María Fernanda Quispe Rojas</w:t>
      </w:r>
    </w:p>
    <w:p>
      <w:pPr>
        <w:pStyle w:val="BodyText"/>
      </w:pPr>
      <w:r>
        <w:t xml:space="preserve">Commercial Manager, BioEquip S.A.C.</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(PO-2025-04871) is a legally binding document issued by the Instituto de Investigación Biomédica del Pacífico,</w:t>
      </w:r>
      <w:r>
        <w:t xml:space="preserve"> </w:t>
      </w:r>
      <w:r>
        <w:t xml:space="preserve">Peru Lima</w:t>
      </w:r>
      <w:r>
        <w:t xml:space="preserve">. It is intended solely for the procurement of laboratory resources for the designated</w:t>
      </w:r>
      <w:r>
        <w:t xml:space="preserve"> </w:t>
      </w:r>
      <w:r>
        <w:t xml:space="preserve">Medical Researcher</w:t>
      </w:r>
      <w:r>
        <w:t xml:space="preserve"> </w:t>
      </w:r>
      <w:r>
        <w:t xml:space="preserve">program. Unauthorized reproduction or modification of this document is prohibited. Document reference: IIBP-PROC-2025-04871.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Peru Lima</dc:title>
  <dc:creator/>
  <dc:language>en</dc:language>
  <cp:keywords/>
  <dcterms:created xsi:type="dcterms:W3CDTF">2026-10-10T04:20:44Z</dcterms:created>
  <dcterms:modified xsi:type="dcterms:W3CDTF">2026-10-10T04:20:44Z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