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urchase-order"/>
    <w:p>
      <w:pPr>
        <w:pStyle w:val="Heading1"/>
      </w:pPr>
      <w:r>
        <w:t xml:space="preserve">PURCHASE ORDER</w:t>
      </w:r>
    </w:p>
    <w:p>
      <w:pPr>
        <w:pStyle w:val="FirstParagraph"/>
      </w:pPr>
      <w:r>
        <w:rPr>
          <w:bCs/>
          <w:b/>
        </w:rPr>
        <w:t xml:space="preserve">PO Number:</w:t>
      </w:r>
      <w:r>
        <w:t xml:space="preserve"> </w:t>
      </w:r>
      <w:r>
        <w:t xml:space="preserve">PO-RUS-SPB-2025-04871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Russian Ruble (RUB)</w:t>
      </w:r>
    </w:p>
    <w:bookmarkEnd w:id="20"/>
    <w:bookmarkStart w:id="21" w:name="buyer-information"/>
    <w:p>
      <w:pPr>
        <w:pStyle w:val="Heading2"/>
      </w:pPr>
      <w:r>
        <w:t xml:space="preserve">Buyer Information</w:t>
      </w:r>
    </w:p>
    <w:p>
      <w:pPr>
        <w:pStyle w:val="FirstParagraph"/>
      </w:pPr>
      <w:r>
        <w:rPr>
          <w:bCs/>
          <w:b/>
        </w:rPr>
        <w:t xml:space="preserve">Name:</w:t>
      </w:r>
      <w:r>
        <w:t xml:space="preserve"> </w:t>
      </w:r>
      <w:r>
        <w:t xml:space="preserve">Dr. Elena V. Sokolova,</w:t>
      </w:r>
      <w:r>
        <w:t xml:space="preserve"> </w:t>
      </w:r>
      <w:r>
        <w:t xml:space="preserve">Medical Researcher</w:t>
      </w:r>
    </w:p>
    <w:p>
      <w:pPr>
        <w:pStyle w:val="BodyText"/>
      </w:pPr>
      <w:r>
        <w:rPr>
          <w:bCs/>
          <w:b/>
        </w:rPr>
        <w:t xml:space="preserve">Affiliation:</w:t>
      </w:r>
      <w:r>
        <w:t xml:space="preserve"> </w:t>
      </w:r>
      <w:r>
        <w:t xml:space="preserve">Institute of Molecular Medicine, Saint Petersburg State University</w:t>
      </w:r>
    </w:p>
    <w:p>
      <w:pPr>
        <w:pStyle w:val="BodyText"/>
      </w:pPr>
      <w:r>
        <w:rPr>
          <w:bCs/>
          <w:b/>
        </w:rPr>
        <w:t xml:space="preserve">Address:</w:t>
      </w:r>
      <w:r>
        <w:t xml:space="preserve"> </w:t>
      </w:r>
      <w:r>
        <w:t xml:space="preserve">7/9 Universitetskaya Embankment, Saint Petersburg, 199034, Russia</w:t>
      </w:r>
    </w:p>
    <w:p>
      <w:pPr>
        <w:pStyle w:val="BodyText"/>
      </w:pPr>
      <w:r>
        <w:rPr>
          <w:bCs/>
          <w:b/>
        </w:rPr>
        <w:t xml:space="preserve">Phone:</w:t>
      </w:r>
      <w:r>
        <w:t xml:space="preserve"> </w:t>
      </w:r>
      <w:r>
        <w:t xml:space="preserve">+7 (812) 328-9300 ext. 4471</w:t>
      </w:r>
    </w:p>
    <w:p>
      <w:pPr>
        <w:pStyle w:val="BodyText"/>
      </w:pPr>
      <w:r>
        <w:rPr>
          <w:bCs/>
          <w:b/>
        </w:rPr>
        <w:t xml:space="preserve">Email:</w:t>
      </w:r>
      <w:r>
        <w:t xml:space="preserve"> </w:t>
      </w:r>
      <w:r>
        <w:t xml:space="preserve">e.sokolova@smmu.ru</w:t>
      </w:r>
    </w:p>
    <w:p>
      <w:pPr>
        <w:pStyle w:val="BodyText"/>
      </w:pPr>
      <w:r>
        <w:rPr>
          <w:bCs/>
          <w:b/>
        </w:rPr>
        <w:t xml:space="preserve">Taxpayer ID (INN):</w:t>
      </w:r>
      <w:r>
        <w:t xml:space="preserve"> </w:t>
      </w:r>
      <w:r>
        <w:t xml:space="preserve">7805001234</w:t>
      </w:r>
    </w:p>
    <w:bookmarkEnd w:id="21"/>
    <w:bookmarkStart w:id="22" w:name="seller-information"/>
    <w:p>
      <w:pPr>
        <w:pStyle w:val="Heading2"/>
      </w:pPr>
      <w:r>
        <w:t xml:space="preserve">Seller Information</w:t>
      </w:r>
    </w:p>
    <w:p>
      <w:pPr>
        <w:pStyle w:val="FirstParagraph"/>
      </w:pPr>
      <w:r>
        <w:rPr>
          <w:bCs/>
          <w:b/>
        </w:rPr>
        <w:t xml:space="preserve">Company:</w:t>
      </w:r>
      <w:r>
        <w:t xml:space="preserve"> </w:t>
      </w:r>
      <w:r>
        <w:t xml:space="preserve">BioLab Supply International OOO</w:t>
      </w:r>
    </w:p>
    <w:p>
      <w:pPr>
        <w:pStyle w:val="BodyText"/>
      </w:pPr>
      <w:r>
        <w:rPr>
          <w:bCs/>
          <w:b/>
        </w:rPr>
        <w:t xml:space="preserve">Address:</w:t>
      </w:r>
      <w:r>
        <w:t xml:space="preserve"> </w:t>
      </w:r>
      <w:r>
        <w:t xml:space="preserve">42 Liteyny Avenue, Saint Petersburg, 191025, Russia</w:t>
      </w:r>
    </w:p>
    <w:p>
      <w:pPr>
        <w:pStyle w:val="BodyText"/>
      </w:pPr>
      <w:r>
        <w:rPr>
          <w:bCs/>
          <w:b/>
        </w:rPr>
        <w:t xml:space="preserve">Phone:</w:t>
      </w:r>
      <w:r>
        <w:t xml:space="preserve"> </w:t>
      </w:r>
      <w:r>
        <w:t xml:space="preserve">+7 (812) 449-7722</w:t>
      </w:r>
    </w:p>
    <w:p>
      <w:pPr>
        <w:pStyle w:val="BodyText"/>
      </w:pPr>
      <w:r>
        <w:rPr>
          <w:bCs/>
          <w:b/>
        </w:rPr>
        <w:t xml:space="preserve">Email:</w:t>
      </w:r>
      <w:r>
        <w:t xml:space="preserve"> </w:t>
      </w:r>
      <w:r>
        <w:t xml:space="preserve">orders@biolabsupply.ru</w:t>
      </w:r>
    </w:p>
    <w:p>
      <w:pPr>
        <w:pStyle w:val="BodyText"/>
      </w:pPr>
      <w:r>
        <w:rPr>
          <w:bCs/>
          <w:b/>
        </w:rPr>
        <w:t xml:space="preserve">Taxpayer ID (INN):</w:t>
      </w:r>
      <w:r>
        <w:t xml:space="preserve"> </w:t>
      </w:r>
      <w:r>
        <w:t xml:space="preserve">7811234567</w:t>
      </w:r>
    </w:p>
    <w:p>
      <w:pPr>
        <w:pStyle w:val="BodyText"/>
      </w:pPr>
      <w:r>
        <w:rPr>
          <w:bCs/>
          <w:b/>
        </w:rPr>
        <w:t xml:space="preserve">Authorized Representative:</w:t>
      </w:r>
      <w:r>
        <w:t xml:space="preserve"> </w:t>
      </w:r>
      <w:r>
        <w:t xml:space="preserve">Mr. Dmitry A. Kuznetsov, Sales Director</w:t>
      </w:r>
    </w:p>
    <w:bookmarkEnd w:id="22"/>
    <w:bookmarkStart w:id="23" w:name="X024dd67cfb4729125ce4a630215c45b71bac4a7"/>
    <w:p>
      <w:pPr>
        <w:pStyle w:val="Heading2"/>
      </w:pPr>
      <w:r>
        <w:t xml:space="preserve">Order Details – Laboratory Equipment and Consumables for Medical Research</w:t>
      </w:r>
    </w:p>
    <w:p>
      <w:pPr>
        <w:pStyle w:val="FirstParagraph"/>
      </w:pPr>
      <w:r>
        <w:t xml:space="preserve">This</w:t>
      </w:r>
      <w:r>
        <w:t xml:space="preserve"> </w:t>
      </w:r>
      <w:r>
        <w:t xml:space="preserve">Purchase Order</w:t>
      </w:r>
      <w:r>
        <w:t xml:space="preserve"> </w:t>
      </w:r>
      <w:r>
        <w:t xml:space="preserve">is issued by Dr. Elena V. Sokolova, a senior</w:t>
      </w:r>
      <w:r>
        <w:t xml:space="preserve"> </w:t>
      </w:r>
      <w:r>
        <w:t xml:space="preserve">Medical Researcher</w:t>
      </w:r>
      <w:r>
        <w:t xml:space="preserve"> </w:t>
      </w:r>
      <w:r>
        <w:t xml:space="preserve">specializing in oncological biomarker analysis, to procure essential laboratory equipment, reagents, and consumables required for ongoing clinical research projects conducted at the Institute of Molecular Medicine in</w:t>
      </w:r>
      <w:r>
        <w:t xml:space="preserve"> </w:t>
      </w:r>
      <w:r>
        <w:t xml:space="preserve">Saint Petersburg, Russia</w:t>
      </w:r>
      <w:r>
        <w:t xml:space="preserve">. The items listed below have been selected to support the 2025–2026 research cycle focused on immunotherapy response markers in solid tumors.</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Catalog No.</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Real-Time PCR Thermal Cycler, 96-well, with software license</w:t>
            </w:r>
          </w:p>
        </w:tc>
        <w:tc>
          <w:tcPr/>
          <w:p>
            <w:pPr>
              <w:pStyle w:val="Compact"/>
              <w:jc w:val="left"/>
            </w:pPr>
            <w:r>
              <w:t xml:space="preserve">RT-PCR-96X</w:t>
            </w:r>
          </w:p>
        </w:tc>
        <w:tc>
          <w:tcPr/>
          <w:p>
            <w:pPr>
              <w:pStyle w:val="Compact"/>
              <w:jc w:val="left"/>
            </w:pPr>
            <w:r>
              <w:t xml:space="preserve">2</w:t>
            </w:r>
          </w:p>
        </w:tc>
        <w:tc>
          <w:tcPr/>
          <w:p>
            <w:pPr>
              <w:pStyle w:val="Compact"/>
              <w:jc w:val="left"/>
            </w:pPr>
            <w:r>
              <w:t xml:space="preserve">1,850,000.00</w:t>
            </w:r>
          </w:p>
        </w:tc>
        <w:tc>
          <w:tcPr/>
          <w:p>
            <w:pPr>
              <w:pStyle w:val="Compact"/>
              <w:jc w:val="left"/>
            </w:pPr>
            <w:r>
              <w:t xml:space="preserve">3,700,000.00</w:t>
            </w:r>
          </w:p>
        </w:tc>
      </w:tr>
      <w:tr>
        <w:tc>
          <w:tcPr/>
          <w:p>
            <w:pPr>
              <w:pStyle w:val="Compact"/>
              <w:jc w:val="left"/>
            </w:pPr>
            <w:r>
              <w:t xml:space="preserve">2</w:t>
            </w:r>
          </w:p>
        </w:tc>
        <w:tc>
          <w:tcPr/>
          <w:p>
            <w:pPr>
              <w:pStyle w:val="Compact"/>
              <w:jc w:val="left"/>
            </w:pPr>
            <w:r>
              <w:t xml:space="preserve">Flow Cytometer, 8-color panel, with installation and calibration</w:t>
            </w:r>
          </w:p>
        </w:tc>
        <w:tc>
          <w:tcPr/>
          <w:p>
            <w:pPr>
              <w:pStyle w:val="Compact"/>
              <w:jc w:val="left"/>
            </w:pPr>
            <w:r>
              <w:t xml:space="preserve">FC-8C-PRO</w:t>
            </w:r>
          </w:p>
        </w:tc>
        <w:tc>
          <w:tcPr/>
          <w:p>
            <w:pPr>
              <w:pStyle w:val="Compact"/>
              <w:jc w:val="left"/>
            </w:pPr>
            <w:r>
              <w:t xml:space="preserve">1</w:t>
            </w:r>
          </w:p>
        </w:tc>
        <w:tc>
          <w:tcPr/>
          <w:p>
            <w:pPr>
              <w:pStyle w:val="Compact"/>
              <w:jc w:val="left"/>
            </w:pPr>
            <w:r>
              <w:t xml:space="preserve">4,200,000.00</w:t>
            </w:r>
          </w:p>
        </w:tc>
        <w:tc>
          <w:tcPr/>
          <w:p>
            <w:pPr>
              <w:pStyle w:val="Compact"/>
              <w:jc w:val="left"/>
            </w:pPr>
            <w:r>
              <w:t xml:space="preserve">4,200,000.00</w:t>
            </w:r>
          </w:p>
        </w:tc>
      </w:tr>
      <w:tr>
        <w:tc>
          <w:tcPr/>
          <w:p>
            <w:pPr>
              <w:pStyle w:val="Compact"/>
              <w:jc w:val="left"/>
            </w:pPr>
            <w:r>
              <w:t xml:space="preserve">3</w:t>
            </w:r>
          </w:p>
        </w:tc>
        <w:tc>
          <w:tcPr/>
          <w:p>
            <w:pPr>
              <w:pStyle w:val="Compact"/>
              <w:jc w:val="left"/>
            </w:pPr>
            <w:r>
              <w:t xml:space="preserve">Monoclonal Antibody Kit (CD4/CD8/CD20), 500 tests</w:t>
            </w:r>
          </w:p>
        </w:tc>
        <w:tc>
          <w:tcPr/>
          <w:p>
            <w:pPr>
              <w:pStyle w:val="Compact"/>
              <w:jc w:val="left"/>
            </w:pPr>
            <w:r>
              <w:t xml:space="preserve">MAK-CD-500</w:t>
            </w:r>
          </w:p>
        </w:tc>
        <w:tc>
          <w:tcPr/>
          <w:p>
            <w:pPr>
              <w:pStyle w:val="Compact"/>
              <w:jc w:val="left"/>
            </w:pPr>
            <w:r>
              <w:t xml:space="preserve">10</w:t>
            </w:r>
          </w:p>
        </w:tc>
        <w:tc>
          <w:tcPr/>
          <w:p>
            <w:pPr>
              <w:pStyle w:val="Compact"/>
              <w:jc w:val="left"/>
            </w:pPr>
            <w:r>
              <w:t xml:space="preserve">185,000.00</w:t>
            </w:r>
          </w:p>
        </w:tc>
        <w:tc>
          <w:tcPr/>
          <w:p>
            <w:pPr>
              <w:pStyle w:val="Compact"/>
              <w:jc w:val="left"/>
            </w:pPr>
            <w:r>
              <w:t xml:space="preserve">1,850,000.00</w:t>
            </w:r>
          </w:p>
        </w:tc>
      </w:tr>
      <w:tr>
        <w:tc>
          <w:tcPr/>
          <w:p>
            <w:pPr>
              <w:pStyle w:val="Compact"/>
              <w:jc w:val="left"/>
            </w:pPr>
            <w:r>
              <w:t xml:space="preserve">4</w:t>
            </w:r>
          </w:p>
        </w:tc>
        <w:tc>
          <w:tcPr/>
          <w:p>
            <w:pPr>
              <w:pStyle w:val="Compact"/>
              <w:jc w:val="left"/>
            </w:pPr>
            <w:r>
              <w:t xml:space="preserve">Cell Culture Media, DMEM High Glucose, 500 mL (case of 12)</w:t>
            </w:r>
          </w:p>
        </w:tc>
        <w:tc>
          <w:tcPr/>
          <w:p>
            <w:pPr>
              <w:pStyle w:val="Compact"/>
              <w:jc w:val="left"/>
            </w:pPr>
            <w:r>
              <w:t xml:space="preserve">DMEM-HG-500</w:t>
            </w:r>
          </w:p>
        </w:tc>
        <w:tc>
          <w:tcPr/>
          <w:p>
            <w:pPr>
              <w:pStyle w:val="Compact"/>
              <w:jc w:val="left"/>
            </w:pPr>
            <w:r>
              <w:t xml:space="preserve">24</w:t>
            </w:r>
          </w:p>
        </w:tc>
        <w:tc>
          <w:tcPr/>
          <w:p>
            <w:pPr>
              <w:pStyle w:val="Compact"/>
              <w:jc w:val="left"/>
            </w:pPr>
            <w:r>
              <w:t xml:space="preserve">12,400.00</w:t>
            </w:r>
          </w:p>
        </w:tc>
        <w:tc>
          <w:tcPr/>
          <w:p>
            <w:pPr>
              <w:pStyle w:val="Compact"/>
              <w:jc w:val="left"/>
            </w:pPr>
            <w:r>
              <w:t xml:space="preserve">297,600.00</w:t>
            </w:r>
          </w:p>
        </w:tc>
      </w:tr>
      <w:tr>
        <w:tc>
          <w:tcPr/>
          <w:p>
            <w:pPr>
              <w:pStyle w:val="Compact"/>
              <w:jc w:val="left"/>
            </w:pPr>
            <w:r>
              <w:t xml:space="preserve">5</w:t>
            </w:r>
          </w:p>
        </w:tc>
        <w:tc>
          <w:tcPr/>
          <w:p>
            <w:pPr>
              <w:pStyle w:val="Compact"/>
              <w:jc w:val="left"/>
            </w:pPr>
            <w:r>
              <w:t xml:space="preserve">Nitrile Examination Gloves, Size M, Box of 100 (case of 10)</w:t>
            </w:r>
          </w:p>
        </w:tc>
        <w:tc>
          <w:tcPr/>
          <w:p>
            <w:pPr>
              <w:pStyle w:val="Compact"/>
              <w:jc w:val="left"/>
            </w:pPr>
            <w:r>
              <w:t xml:space="preserve">NG-M-1000</w:t>
            </w:r>
          </w:p>
        </w:tc>
        <w:tc>
          <w:tcPr/>
          <w:p>
            <w:pPr>
              <w:pStyle w:val="Compact"/>
              <w:jc w:val="left"/>
            </w:pPr>
            <w:r>
              <w:t xml:space="preserve">50</w:t>
            </w:r>
          </w:p>
        </w:tc>
        <w:tc>
          <w:tcPr/>
          <w:p>
            <w:pPr>
              <w:pStyle w:val="Compact"/>
              <w:jc w:val="left"/>
            </w:pPr>
            <w:r>
              <w:t xml:space="preserve">3,200.00</w:t>
            </w:r>
          </w:p>
        </w:tc>
        <w:tc>
          <w:tcPr/>
          <w:p>
            <w:pPr>
              <w:pStyle w:val="Compact"/>
              <w:jc w:val="left"/>
            </w:pPr>
            <w:r>
              <w:t xml:space="preserve">160,000.00</w:t>
            </w:r>
          </w:p>
        </w:tc>
      </w:tr>
      <w:tr>
        <w:tc>
          <w:tcPr/>
          <w:p>
            <w:pPr>
              <w:pStyle w:val="Compact"/>
              <w:jc w:val="left"/>
            </w:pPr>
            <w:r>
              <w:t xml:space="preserve">6</w:t>
            </w:r>
          </w:p>
        </w:tc>
        <w:tc>
          <w:tcPr/>
          <w:p>
            <w:pPr>
              <w:pStyle w:val="Compact"/>
              <w:jc w:val="left"/>
            </w:pPr>
            <w:r>
              <w:t xml:space="preserve">Centrifuge Tubes, 15 mL Conical, Sterile (pack of 500)</w:t>
            </w:r>
          </w:p>
        </w:tc>
        <w:tc>
          <w:tcPr/>
          <w:p>
            <w:pPr>
              <w:pStyle w:val="Compact"/>
              <w:jc w:val="left"/>
            </w:pPr>
            <w:r>
              <w:t xml:space="preserve">CT-15-500</w:t>
            </w:r>
          </w:p>
        </w:tc>
        <w:tc>
          <w:tcPr/>
          <w:p>
            <w:pPr>
              <w:pStyle w:val="Compact"/>
              <w:jc w:val="left"/>
            </w:pPr>
            <w:r>
              <w:t xml:space="preserve">30</w:t>
            </w:r>
          </w:p>
        </w:tc>
        <w:tc>
          <w:tcPr/>
          <w:p>
            <w:pPr>
              <w:pStyle w:val="Compact"/>
              <w:jc w:val="left"/>
            </w:pPr>
            <w:r>
              <w:t xml:space="preserve">4,800.00</w:t>
            </w:r>
          </w:p>
        </w:tc>
        <w:tc>
          <w:tcPr/>
          <w:p>
            <w:pPr>
              <w:pStyle w:val="Compact"/>
              <w:jc w:val="left"/>
            </w:pPr>
            <w:r>
              <w:t xml:space="preserve">144,000.00</w:t>
            </w:r>
          </w:p>
        </w:tc>
      </w:tr>
      <w:tr>
        <w:tc>
          <w:tcPr/>
          <w:p>
            <w:pPr>
              <w:pStyle w:val="Compact"/>
              <w:jc w:val="left"/>
            </w:pPr>
            <w:r>
              <w:t xml:space="preserve">7</w:t>
            </w:r>
          </w:p>
        </w:tc>
        <w:tc>
          <w:tcPr/>
          <w:p>
            <w:pPr>
              <w:pStyle w:val="Compact"/>
              <w:jc w:val="left"/>
            </w:pPr>
            <w:r>
              <w:t xml:space="preserve">ELISA Microplate Reader, 96-well, UV-Vis-NIR range</w:t>
            </w:r>
          </w:p>
        </w:tc>
        <w:tc>
          <w:tcPr/>
          <w:p>
            <w:pPr>
              <w:pStyle w:val="Compact"/>
              <w:jc w:val="left"/>
            </w:pPr>
            <w:r>
              <w:t xml:space="preserve">EL-96-UVN</w:t>
            </w:r>
          </w:p>
        </w:tc>
        <w:tc>
          <w:tcPr/>
          <w:p>
            <w:pPr>
              <w:pStyle w:val="Compact"/>
              <w:jc w:val="left"/>
            </w:pPr>
            <w:r>
              <w:t xml:space="preserve">1</w:t>
            </w:r>
          </w:p>
        </w:tc>
        <w:tc>
          <w:tcPr/>
          <w:p>
            <w:pPr>
              <w:pStyle w:val="Compact"/>
              <w:jc w:val="left"/>
            </w:pPr>
            <w:r>
              <w:t xml:space="preserve">980,000.00</w:t>
            </w:r>
          </w:p>
        </w:tc>
        <w:tc>
          <w:tcPr/>
          <w:p>
            <w:pPr>
              <w:pStyle w:val="Compact"/>
              <w:jc w:val="left"/>
            </w:pPr>
            <w:r>
              <w:t xml:space="preserve">980,000.00</w:t>
            </w:r>
          </w:p>
        </w:tc>
      </w:tr>
      <w:tr>
        <w:tc>
          <w:tcPr/>
          <w:p>
            <w:pPr>
              <w:pStyle w:val="Compact"/>
              <w:jc w:val="left"/>
            </w:pPr>
            <w:r>
              <w:t xml:space="preserve">8</w:t>
            </w:r>
          </w:p>
        </w:tc>
        <w:tc>
          <w:tcPr/>
          <w:p>
            <w:pPr>
              <w:pStyle w:val="Compact"/>
              <w:jc w:val="left"/>
            </w:pPr>
            <w:r>
              <w:t xml:space="preserve">Refrigerated Centrifuge, 15,000 RPM, 24×1.5 mL rotor</w:t>
            </w:r>
          </w:p>
        </w:tc>
        <w:tc>
          <w:tcPr/>
          <w:p>
            <w:pPr>
              <w:pStyle w:val="Compact"/>
              <w:jc w:val="left"/>
            </w:pPr>
            <w:r>
              <w:t xml:space="preserve">RC-15K-24</w:t>
            </w:r>
          </w:p>
        </w:tc>
        <w:tc>
          <w:tcPr/>
          <w:p>
            <w:pPr>
              <w:pStyle w:val="Compact"/>
              <w:jc w:val="left"/>
            </w:pPr>
            <w:r>
              <w:t xml:space="preserve">2</w:t>
            </w:r>
          </w:p>
        </w:tc>
        <w:tc>
          <w:tcPr/>
          <w:p>
            <w:pPr>
              <w:pStyle w:val="Compact"/>
              <w:jc w:val="left"/>
            </w:pPr>
            <w:r>
              <w:t xml:space="preserve">420,000.00</w:t>
            </w:r>
          </w:p>
        </w:tc>
        <w:tc>
          <w:tcPr/>
          <w:p>
            <w:pPr>
              <w:pStyle w:val="Compact"/>
              <w:jc w:val="left"/>
            </w:pPr>
            <w:r>
              <w:t xml:space="preserve">840,000.00</w:t>
            </w:r>
          </w:p>
        </w:tc>
      </w:tr>
      <w:tr>
        <w:tc>
          <w:tcPr/>
          <w:p>
            <w:pPr>
              <w:pStyle w:val="Compact"/>
              <w:jc w:val="left"/>
            </w:pPr>
            <w:r>
              <w:t xml:space="preserve">9</w:t>
            </w:r>
          </w:p>
        </w:tc>
        <w:tc>
          <w:tcPr/>
          <w:p>
            <w:pPr>
              <w:pStyle w:val="Compact"/>
              <w:jc w:val="left"/>
            </w:pPr>
            <w:r>
              <w:t xml:space="preserve">RNA Extraction Kit, Tissue-Based, 200 preparations</w:t>
            </w:r>
          </w:p>
        </w:tc>
        <w:tc>
          <w:tcPr/>
          <w:p>
            <w:pPr>
              <w:pStyle w:val="Compact"/>
              <w:jc w:val="left"/>
            </w:pPr>
            <w:r>
              <w:t xml:space="preserve">REK-T-200</w:t>
            </w:r>
          </w:p>
        </w:tc>
        <w:tc>
          <w:tcPr/>
          <w:p>
            <w:pPr>
              <w:pStyle w:val="Compact"/>
              <w:jc w:val="left"/>
            </w:pPr>
            <w:r>
              <w:t xml:space="preserve">15</w:t>
            </w:r>
          </w:p>
        </w:tc>
        <w:tc>
          <w:tcPr/>
          <w:p>
            <w:pPr>
              <w:pStyle w:val="Compact"/>
              <w:jc w:val="left"/>
            </w:pPr>
            <w:r>
              <w:t xml:space="preserve">28,500.00</w:t>
            </w:r>
          </w:p>
        </w:tc>
        <w:tc>
          <w:tcPr/>
          <w:p>
            <w:pPr>
              <w:pStyle w:val="Compact"/>
              <w:jc w:val="left"/>
            </w:pPr>
            <w:r>
              <w:t xml:space="preserve">427,500.00</w:t>
            </w:r>
          </w:p>
        </w:tc>
      </w:tr>
      <w:tr>
        <w:tc>
          <w:tcPr/>
          <w:p>
            <w:pPr>
              <w:pStyle w:val="Compact"/>
              <w:jc w:val="left"/>
            </w:pPr>
            <w:r>
              <w:t xml:space="preserve">10</w:t>
            </w:r>
          </w:p>
        </w:tc>
        <w:tc>
          <w:tcPr/>
          <w:p>
            <w:pPr>
              <w:pStyle w:val="Compact"/>
              <w:jc w:val="left"/>
            </w:pPr>
            <w:r>
              <w:t xml:space="preserve">Lab Notebook, Spiral, A4, 200 pages (for research documentation)</w:t>
            </w:r>
          </w:p>
        </w:tc>
        <w:tc>
          <w:tcPr/>
          <w:p>
            <w:pPr>
              <w:pStyle w:val="Compact"/>
              <w:jc w:val="left"/>
            </w:pPr>
            <w:r>
              <w:t xml:space="preserve">LN-A4-200</w:t>
            </w:r>
          </w:p>
        </w:tc>
        <w:tc>
          <w:tcPr/>
          <w:p>
            <w:pPr>
              <w:pStyle w:val="Compact"/>
              <w:jc w:val="left"/>
            </w:pPr>
            <w:r>
              <w:t xml:space="preserve">20</w:t>
            </w:r>
          </w:p>
        </w:tc>
        <w:tc>
          <w:tcPr/>
          <w:p>
            <w:pPr>
              <w:pStyle w:val="Compact"/>
              <w:jc w:val="left"/>
            </w:pPr>
            <w:r>
              <w:t xml:space="preserve">850.00</w:t>
            </w:r>
          </w:p>
        </w:tc>
        <w:tc>
          <w:tcPr/>
          <w:p>
            <w:pPr>
              <w:pStyle w:val="Compact"/>
              <w:jc w:val="left"/>
            </w:pPr>
            <w:r>
              <w:t xml:space="preserve">17,000.00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12,616,100.00 RUB</w:t>
            </w:r>
          </w:p>
        </w:tc>
      </w:tr>
      <w:tr>
        <w:tc>
          <w:tcPr/>
          <w:p>
            <w:pPr>
              <w:pStyle w:val="Compact"/>
              <w:jc w:val="right"/>
            </w:pPr>
            <w:r>
              <w:t xml:space="preserve">VAT (20%):</w:t>
            </w:r>
          </w:p>
        </w:tc>
        <w:tc>
          <w:tcPr/>
          <w:p>
            <w:pPr>
              <w:pStyle w:val="Compact"/>
              <w:jc w:val="left"/>
            </w:pPr>
            <w:r>
              <w:t xml:space="preserve">2,523,220.00 RUB</w:t>
            </w:r>
          </w:p>
        </w:tc>
      </w:tr>
      <w:tr>
        <w:tc>
          <w:tcPr/>
          <w:p>
            <w:pPr>
              <w:pStyle w:val="Compact"/>
              <w:jc w:val="right"/>
            </w:pPr>
            <w:r>
              <w:t xml:space="preserve">Delivery &amp; Installation (Saint Petersburg):</w:t>
            </w:r>
          </w:p>
        </w:tc>
        <w:tc>
          <w:tcPr/>
          <w:p>
            <w:pPr>
              <w:pStyle w:val="Compact"/>
              <w:jc w:val="left"/>
            </w:pPr>
            <w:r>
              <w:t xml:space="preserve">185,000.00 RUB</w:t>
            </w:r>
          </w:p>
        </w:tc>
      </w:tr>
      <w:tr>
        <w:tc>
          <w:tcPr/>
          <w:p>
            <w:pPr>
              <w:pStyle w:val="Compact"/>
              <w:jc w:val="right"/>
            </w:pPr>
            <w:r>
              <w:t xml:space="preserve">Grand Total:</w:t>
            </w:r>
          </w:p>
        </w:tc>
        <w:tc>
          <w:tcPr/>
          <w:p>
            <w:pPr>
              <w:pStyle w:val="Compact"/>
              <w:jc w:val="left"/>
            </w:pPr>
            <w:r>
              <w:t xml:space="preserve">15,324,320.00 RUB</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Delivery Location:</w:t>
      </w:r>
      <w:r>
        <w:t xml:space="preserve"> </w:t>
      </w:r>
      <w:r>
        <w:t xml:space="preserve">All items shall be delivered to the Institute of Molecular Medicine, 7/9 Universitetskaya Embankment, Saint Petersburg, 199034, Russia. The</w:t>
      </w:r>
      <w:r>
        <w:t xml:space="preserve"> </w:t>
      </w:r>
      <w:r>
        <w:t xml:space="preserve">Medical Researcher</w:t>
      </w:r>
      <w:r>
        <w:t xml:space="preserve"> </w:t>
      </w:r>
      <w:r>
        <w:t xml:space="preserve">or her designated laboratory manager shall sign the delivery receipt upon arrival.</w:t>
      </w:r>
    </w:p>
    <w:p>
      <w:pPr>
        <w:numPr>
          <w:ilvl w:val="0"/>
          <w:numId w:val="1001"/>
        </w:numPr>
        <w:pStyle w:val="Compact"/>
      </w:pPr>
      <w:r>
        <w:rPr>
          <w:bCs/>
          <w:b/>
        </w:rPr>
        <w:t xml:space="preserve">Delivery Timeline:</w:t>
      </w:r>
      <w:r>
        <w:t xml:space="preserve"> </w:t>
      </w:r>
      <w:r>
        <w:t xml:space="preserve">Standard laboratory consumables (Items 3–6, 9–10) must be delivered within 10 business days of this</w:t>
      </w:r>
      <w:r>
        <w:t xml:space="preserve"> </w:t>
      </w:r>
      <w:r>
        <w:t xml:space="preserve">Purchase Order</w:t>
      </w:r>
      <w:r>
        <w:t xml:space="preserve"> </w:t>
      </w:r>
      <w:r>
        <w:t xml:space="preserve">confirmation. Capital equipment (Items 1, 2, 7, 8) must be delivered, installed, and calibrated within 45 calendar days.</w:t>
      </w:r>
    </w:p>
    <w:p>
      <w:pPr>
        <w:numPr>
          <w:ilvl w:val="0"/>
          <w:numId w:val="1001"/>
        </w:numPr>
        <w:pStyle w:val="Compact"/>
      </w:pPr>
      <w:r>
        <w:rPr>
          <w:bCs/>
          <w:b/>
        </w:rPr>
        <w:t xml:space="preserve">Payment Terms:</w:t>
      </w:r>
      <w:r>
        <w:t xml:space="preserve"> </w:t>
      </w:r>
      <w:r>
        <w:t xml:space="preserve">Payment shall be made via bank transfer to the seller's account within 30 days of the invoice date. A 50% advance payment is required upon confirmation of this</w:t>
      </w:r>
      <w:r>
        <w:t xml:space="preserve"> </w:t>
      </w:r>
      <w:r>
        <w:t xml:space="preserve">Purchase Order</w:t>
      </w:r>
      <w:r>
        <w:t xml:space="preserve">. The remaining 50% is due upon successful installation and acceptance of all capital equipment in</w:t>
      </w:r>
      <w:r>
        <w:t xml:space="preserve"> </w:t>
      </w:r>
      <w:r>
        <w:t xml:space="preserve">Saint Petersburg</w:t>
      </w:r>
      <w:r>
        <w:t xml:space="preserve">.</w:t>
      </w:r>
    </w:p>
    <w:p>
      <w:pPr>
        <w:numPr>
          <w:ilvl w:val="0"/>
          <w:numId w:val="1001"/>
        </w:numPr>
        <w:pStyle w:val="Compact"/>
      </w:pPr>
      <w:r>
        <w:rPr>
          <w:bCs/>
          <w:b/>
        </w:rPr>
        <w:t xml:space="preserve">Warranty:</w:t>
      </w:r>
      <w:r>
        <w:t xml:space="preserve"> </w:t>
      </w:r>
      <w:r>
        <w:t xml:space="preserve">All capital equipment carries a minimum 24-month manufacturer warranty. Consumables and reagents must have a shelf life of no less than 12 months from the date of delivery.</w:t>
      </w:r>
    </w:p>
    <w:p>
      <w:pPr>
        <w:numPr>
          <w:ilvl w:val="0"/>
          <w:numId w:val="1001"/>
        </w:numPr>
        <w:pStyle w:val="Compact"/>
      </w:pPr>
      <w:r>
        <w:rPr>
          <w:bCs/>
          <w:b/>
        </w:rPr>
        <w:t xml:space="preserve">Compliance:</w:t>
      </w:r>
      <w:r>
        <w:t xml:space="preserve"> </w:t>
      </w:r>
      <w:r>
        <w:t xml:space="preserve">All products must comply with the regulatory standards of the Ministry of Health of the Russian Federation and the Federal Service for Surveillance in Healthcare (Roszdravnadzor). The seller guarantees that all imported reagents and equipment meet GOST and applicable EU CE marking requirements.</w:t>
      </w:r>
    </w:p>
    <w:p>
      <w:pPr>
        <w:numPr>
          <w:ilvl w:val="0"/>
          <w:numId w:val="1001"/>
        </w:numPr>
        <w:pStyle w:val="Compact"/>
      </w:pPr>
      <w:r>
        <w:rPr>
          <w:bCs/>
          <w:b/>
        </w:rPr>
        <w:t xml:space="preserve">Acceptance:</w:t>
      </w:r>
      <w:r>
        <w:t xml:space="preserve"> </w:t>
      </w:r>
      <w:r>
        <w:t xml:space="preserve">The</w:t>
      </w:r>
      <w:r>
        <w:t xml:space="preserve"> </w:t>
      </w:r>
      <w:r>
        <w:t xml:space="preserve">Medical Researcher</w:t>
      </w:r>
      <w:r>
        <w:t xml:space="preserve"> </w:t>
      </w:r>
      <w:r>
        <w:t xml:space="preserve">shall have 5 business days following delivery to inspect and test all received items. Any discrepancies, damage, or non-conformity must be reported in writing to the seller within this period.</w:t>
      </w:r>
    </w:p>
    <w:p>
      <w:pPr>
        <w:numPr>
          <w:ilvl w:val="0"/>
          <w:numId w:val="1001"/>
        </w:numPr>
        <w:pStyle w:val="Compact"/>
      </w:pPr>
      <w:r>
        <w:rPr>
          <w:bCs/>
          <w:b/>
        </w:rPr>
        <w:t xml:space="preserve">Intellectual Property &amp; Data:</w:t>
      </w:r>
      <w:r>
        <w:t xml:space="preserve"> </w:t>
      </w:r>
      <w:r>
        <w:t xml:space="preserve">All research data generated using the procured equipment remains the sole property of the Institute of Molecular Medicine and Dr. Sokolova. No third-party data collection is permitted on any software-embedded devices.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interpreted in accordance with the Civil Code of the Russian Federation. Any disputes shall be resolved through arbitration in</w:t>
      </w:r>
      <w:r>
        <w:t xml:space="preserve"> </w:t>
      </w:r>
      <w:r>
        <w:t xml:space="preserve">Saint Petersburg, Russia</w:t>
      </w:r>
      <w:r>
        <w:t xml:space="preserv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supply chain disruptions affecting delivery within the Russian Federation.</w:t>
      </w:r>
    </w:p>
    <w:bookmarkEnd w:id="25"/>
    <w:bookmarkStart w:id="26" w:name="authorized-signatures"/>
    <w:p>
      <w:pPr>
        <w:pStyle w:val="Heading2"/>
      </w:pPr>
      <w:r>
        <w:t xml:space="preserve">Authorized Signatures</w:t>
      </w:r>
    </w:p>
    <w:p>
      <w:pPr>
        <w:pStyle w:val="FirstParagraph"/>
      </w:pPr>
      <w:r>
        <w:rPr>
          <w:bCs/>
          <w:b/>
        </w:rPr>
        <w:t xml:space="preserve">Prepared by (Buyer):</w:t>
      </w:r>
    </w:p>
    <w:p>
      <w:pPr>
        <w:pStyle w:val="BodyText"/>
      </w:pPr>
      <w:r>
        <w:t xml:space="preserve">Dr. Elena V. Sokolova</w:t>
      </w:r>
      <w:r>
        <w:br/>
      </w:r>
      <w:r>
        <w:t xml:space="preserve">Medical Researcher, PhD</w:t>
      </w:r>
      <w:r>
        <w:br/>
      </w:r>
      <w:r>
        <w:t xml:space="preserve">Institute of Molecular Medicine</w:t>
      </w:r>
      <w:r>
        <w:br/>
      </w:r>
      <w:r>
        <w:t xml:space="preserve">Saint Petersburg, Russia</w:t>
      </w:r>
      <w:r>
        <w:br/>
      </w:r>
      <w:r>
        <w:t xml:space="preserve">Date: _______________</w:t>
      </w:r>
    </w:p>
    <w:p>
      <w:pPr>
        <w:pStyle w:val="BodyText"/>
      </w:pPr>
      <w:r>
        <w:rPr>
          <w:bCs/>
          <w:b/>
        </w:rPr>
        <w:t xml:space="preserve">Accepted by (Seller):</w:t>
      </w:r>
    </w:p>
    <w:p>
      <w:pPr>
        <w:pStyle w:val="BodyText"/>
      </w:pPr>
      <w:r>
        <w:t xml:space="preserve">Dmitry A. Kuznetsov</w:t>
      </w:r>
      <w:r>
        <w:br/>
      </w:r>
      <w:r>
        <w:t xml:space="preserve">Sales Director</w:t>
      </w:r>
      <w:r>
        <w:br/>
      </w:r>
      <w:r>
        <w:t xml:space="preserve">BioLab Supply International OOO</w:t>
      </w:r>
      <w:r>
        <w:br/>
      </w:r>
      <w:r>
        <w:t xml:space="preserve">Saint Petersburg, Russia</w:t>
      </w:r>
      <w:r>
        <w:br/>
      </w:r>
      <w:r>
        <w:t xml:space="preserve">Date: _______________</w:t>
      </w:r>
    </w:p>
    <w:bookmarkEnd w:id="26"/>
    <w:p>
      <w:pPr>
        <w:pStyle w:val="BodyText"/>
      </w:pPr>
      <w:r>
        <w:t xml:space="preserve">This Purchase Order (PO-RUS-SPB-2025-04871) is a binding commercial document issued in Saint Petersburg, Russia. It is valid only when signed and stamped by both parties. Unauthorized reproduction or modification of this document is prohibited. For inquiries, contact the Procurement Office of the Institute of Molecular Medicine, Saint Petersburg, Russia.</w:t>
      </w:r>
    </w:p>
    <w:p>
      <w:pPr>
        <w:pStyle w:val="BodyText"/>
      </w:pPr>
      <w:r>
        <w:t xml:space="preserve">Document 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Saint Petersburg, Russia</dc:title>
  <dc:creator/>
  <dc:language>en</dc:language>
  <cp:keywords/>
  <dcterms:created xsi:type="dcterms:W3CDTF">2026-10-10T05:55:11Z</dcterms:created>
  <dcterms:modified xsi:type="dcterms:W3CDTF">2026-10-10T05:55:11Z</dcterms:modified>
</cp:coreProperties>
</file>

<file path=docProps/custom.xml><?xml version="1.0" encoding="utf-8"?>
<Properties xmlns="http://schemas.openxmlformats.org/officeDocument/2006/custom-properties" xmlns:vt="http://schemas.openxmlformats.org/officeDocument/2006/docPropsVTypes"/>
</file>