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King Fahd Medical Research Institute</w:t>
      </w:r>
    </w:p>
    <w:p>
      <w:pPr>
        <w:pStyle w:val="BodyText"/>
      </w:pPr>
      <w:r>
        <w:t xml:space="preserve">Al Olaya District, Riyadh 12214, Saudi Arabia</w:t>
      </w:r>
    </w:p>
    <w:p>
      <w:pPr>
        <w:pStyle w:val="BodyText"/>
      </w:pPr>
      <w:r>
        <w:t xml:space="preserve">Phone: +966-11-460-0000 | Email: procurement@kfMRI.sa</w:t>
      </w:r>
    </w:p>
    <w:p>
      <w:pPr>
        <w:pStyle w:val="BodyText"/>
      </w:pPr>
      <w:r>
        <w:t xml:space="preserve">Commercial Registration No. 1010XXXXXX | VAT No. 3101XXXXXX00003</w:t>
      </w:r>
    </w:p>
    <w:bookmarkEnd w:id="20"/>
    <w:p>
      <w:pPr>
        <w:pStyle w:val="BodyText"/>
      </w:pPr>
      <w:r>
        <w:rPr>
          <w:bCs/>
          <w:b/>
        </w:rPr>
        <w:t xml:space="preserve">Purchase Order No.:</w:t>
      </w:r>
      <w:r>
        <w:t xml:space="preserve"> </w:t>
      </w:r>
      <w:r>
        <w:t xml:space="preserve">PO-KFMR-2025-04872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Project Reference:</w:t>
      </w:r>
      <w:r>
        <w:t xml:space="preserve"> </w:t>
      </w:r>
      <w:r>
        <w:t xml:space="preserve">MR-RIY-2025-Phase III</w:t>
      </w:r>
    </w:p>
    <w:p>
      <w:pPr>
        <w:pStyle w:val="BodyText"/>
      </w:pPr>
      <w:r>
        <w:rPr>
          <w:bCs/>
          <w:b/>
        </w:rPr>
        <w:t xml:space="preserve">Department:</w:t>
      </w:r>
      <w:r>
        <w:t xml:space="preserve"> </w:t>
      </w:r>
      <w:r>
        <w:t xml:space="preserve">Clinical &amp; Translational Research</w:t>
      </w:r>
    </w:p>
    <w:p>
      <w:pPr>
        <w:pStyle w:val="BodyText"/>
      </w:pPr>
      <w:r>
        <w:rPr>
          <w:bCs/>
          <w:b/>
        </w:rPr>
        <w:t xml:space="preserve">Location:</w:t>
      </w:r>
      <w:r>
        <w:t xml:space="preserve"> </w:t>
      </w:r>
      <w:r>
        <w:t xml:space="preserve">Riyadh, Saudi Arabia</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Saudi Riyal (SAR)</w:t>
      </w:r>
    </w:p>
    <w:p>
      <w:pPr>
        <w:pStyle w:val="BodyText"/>
      </w:pPr>
      <w:r>
        <w:rPr>
          <w:bCs/>
          <w:b/>
        </w:rPr>
        <w:t xml:space="preserve">Status:</w:t>
      </w:r>
      <w:r>
        <w:t xml:space="preserve"> </w:t>
      </w:r>
      <w:r>
        <w:t xml:space="preserve">APPROVED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King Fahd Medical Research Institute (KFMRI)</w:t>
            </w:r>
          </w:p>
        </w:tc>
      </w:tr>
      <w:tr>
        <w:tc>
          <w:tcPr/>
          <w:p>
            <w:pPr>
              <w:pStyle w:val="Compact"/>
              <w:jc w:val="left"/>
            </w:pPr>
            <w:r>
              <w:rPr>
                <w:bCs/>
                <w:b/>
              </w:rPr>
              <w:t xml:space="preserve">Address:</w:t>
            </w:r>
          </w:p>
        </w:tc>
        <w:tc>
          <w:tcPr/>
          <w:p>
            <w:pPr>
              <w:pStyle w:val="Compact"/>
              <w:jc w:val="left"/>
            </w:pPr>
            <w:r>
              <w:t xml:space="preserve">King Fahd Medical City, Al Olaya, P.O. Box 98245, Riyadh 11544, Saudi Arabia</w:t>
            </w:r>
          </w:p>
        </w:tc>
      </w:tr>
      <w:tr>
        <w:tc>
          <w:tcPr/>
          <w:p>
            <w:pPr>
              <w:pStyle w:val="Compact"/>
              <w:jc w:val="left"/>
            </w:pPr>
            <w:r>
              <w:rPr>
                <w:bCs/>
                <w:b/>
              </w:rPr>
              <w:t xml:space="preserve">Authorized Officer:</w:t>
            </w:r>
          </w:p>
        </w:tc>
        <w:tc>
          <w:tcPr/>
          <w:p>
            <w:pPr>
              <w:pStyle w:val="Compact"/>
              <w:jc w:val="left"/>
            </w:pPr>
            <w:r>
              <w:t xml:space="preserve">Dr. Abdullah Al-Rashidi, Head of Procurement &amp; Supply Chain</w:t>
            </w:r>
          </w:p>
        </w:tc>
      </w:tr>
      <w:tr>
        <w:tc>
          <w:tcPr/>
          <w:p>
            <w:pPr>
              <w:pStyle w:val="Compact"/>
              <w:jc w:val="left"/>
            </w:pPr>
            <w:r>
              <w:rPr>
                <w:bCs/>
                <w:b/>
              </w:rPr>
              <w:t xml:space="preserve">Contact:</w:t>
            </w:r>
          </w:p>
        </w:tc>
        <w:tc>
          <w:tcPr/>
          <w:p>
            <w:pPr>
              <w:pStyle w:val="Compact"/>
              <w:jc w:val="left"/>
            </w:pPr>
            <w:r>
              <w:t xml:space="preserve">+966-11-460-2233 | procurement@kfMRI.sa</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MedLab Scientific Solutions (Riyadh Branch)</w:t>
            </w:r>
          </w:p>
        </w:tc>
      </w:tr>
      <w:tr>
        <w:tc>
          <w:tcPr/>
          <w:p>
            <w:pPr>
              <w:pStyle w:val="Compact"/>
              <w:jc w:val="left"/>
            </w:pPr>
            <w:r>
              <w:rPr>
                <w:bCs/>
                <w:b/>
              </w:rPr>
              <w:t xml:space="preserve">Address:</w:t>
            </w:r>
          </w:p>
        </w:tc>
        <w:tc>
          <w:tcPr/>
          <w:p>
            <w:pPr>
              <w:pStyle w:val="Compact"/>
              <w:jc w:val="left"/>
            </w:pPr>
            <w:r>
              <w:t xml:space="preserve">King Abdullah Financial District (KAFD), 12th Floor, Tower B, Riyadh 13519, Saudi Arabia</w:t>
            </w:r>
          </w:p>
        </w:tc>
      </w:tr>
      <w:tr>
        <w:tc>
          <w:tcPr/>
          <w:p>
            <w:pPr>
              <w:pStyle w:val="Compact"/>
              <w:jc w:val="left"/>
            </w:pPr>
            <w:r>
              <w:rPr>
                <w:bCs/>
                <w:b/>
              </w:rPr>
              <w:t xml:space="preserve">Contact Person:</w:t>
            </w:r>
          </w:p>
        </w:tc>
        <w:tc>
          <w:tcPr/>
          <w:p>
            <w:pPr>
              <w:pStyle w:val="Compact"/>
              <w:jc w:val="left"/>
            </w:pPr>
            <w:r>
              <w:t xml:space="preserve">Ms. Sarah Al-Otaibi, Regional Sales Director</w:t>
            </w:r>
          </w:p>
        </w:tc>
      </w:tr>
      <w:tr>
        <w:tc>
          <w:tcPr/>
          <w:p>
            <w:pPr>
              <w:pStyle w:val="Compact"/>
              <w:jc w:val="left"/>
            </w:pPr>
            <w:r>
              <w:rPr>
                <w:bCs/>
                <w:b/>
              </w:rPr>
              <w:t xml:space="preserve">Contact:</w:t>
            </w:r>
          </w:p>
        </w:tc>
        <w:tc>
          <w:tcPr/>
          <w:p>
            <w:pPr>
              <w:pStyle w:val="Compact"/>
              <w:jc w:val="left"/>
            </w:pPr>
            <w:r>
              <w:t xml:space="preserve">+966-11-280-5566 | sales.riyadh@medlabsolutions.com</w:t>
            </w:r>
          </w:p>
        </w:tc>
      </w:tr>
      <w:tr>
        <w:tc>
          <w:tcPr/>
          <w:p>
            <w:pPr>
              <w:pStyle w:val="Compact"/>
              <w:jc w:val="left"/>
            </w:pPr>
            <w:r>
              <w:rPr>
                <w:bCs/>
                <w:b/>
              </w:rPr>
              <w:t xml:space="preserve">CR No.:</w:t>
            </w:r>
          </w:p>
        </w:tc>
        <w:tc>
          <w:tcPr/>
          <w:p>
            <w:pPr>
              <w:pStyle w:val="Compact"/>
              <w:jc w:val="left"/>
            </w:pPr>
            <w:r>
              <w:t xml:space="preserve">1010556677</w:t>
            </w:r>
          </w:p>
        </w:tc>
      </w:tr>
    </w:tbl>
    <w:bookmarkEnd w:id="22"/>
    <w:bookmarkStart w:id="23" w:name="purpose-and-scope-of-this-purchase-order"/>
    <w:p>
      <w:pPr>
        <w:pStyle w:val="Heading2"/>
      </w:pPr>
      <w:r>
        <w:t xml:space="preserve">3. Purpose and Scope of This Purchase Order</w:t>
      </w:r>
    </w:p>
    <w:p>
      <w:pPr>
        <w:pStyle w:val="FirstParagraph"/>
      </w:pPr>
      <w:r>
        <w:t xml:space="preserve">This Purchase Order is issued to procure specialized laboratory equipment, reagents, and consumables required to support the ongoing work of a senior</w:t>
      </w:r>
      <w:r>
        <w:t xml:space="preserve"> </w:t>
      </w:r>
      <w:r>
        <w:rPr>
          <w:bCs/>
          <w:b/>
        </w:rPr>
        <w:t xml:space="preserve">Medical Researcher</w:t>
      </w:r>
      <w:r>
        <w:t xml:space="preserve"> </w:t>
      </w:r>
      <w:r>
        <w:t xml:space="preserve">assigned to the Phase III Clinical &amp; Translational Research programme at the King Fahd Medical Research Institute in</w:t>
      </w:r>
      <w:r>
        <w:t xml:space="preserve"> </w:t>
      </w:r>
      <w:r>
        <w:rPr>
          <w:bCs/>
          <w:b/>
        </w:rPr>
        <w:t xml:space="preserve">Saudi Arabia Riyadh</w:t>
      </w:r>
      <w:r>
        <w:t xml:space="preserve">. The Medical Researcher, Dr. Layla Hassan Al-Qahtani (Employee ID: MR-2024-0312), is conducting a multi-centre study on metabolic syndrome biomarkers in the Saudi population. All items listed below are essential to the Medical Researcher's daily laboratory operations, data acquisition, and sample analysis workflows. This Purchase Order has been reviewed and approved in accordance with the Saudi Ministry of Health procurement regulations and the institute's internal financial governance policies applicable to all research expenditures in Riyadh, Saudi Arabia.</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High-Performance Liquid Chromatography (HPLC) System – Agilent 1260 Infinity II, with UV-Vis and MS/MS detectors, for the Medical Researcher's biomarker quantification protocol</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Real-Time PCR Thermal Cycler – Bio-Rad CFX96 Touch, 96-well, for gene expression analysis by the Medical Researcher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62,500.00</w:t>
            </w:r>
          </w:p>
        </w:tc>
        <w:tc>
          <w:tcPr/>
          <w:p>
            <w:pPr>
              <w:pStyle w:val="Compact"/>
              <w:jc w:val="left"/>
            </w:pPr>
            <w:r>
              <w:t xml:space="preserve">125,000.00</w:t>
            </w:r>
          </w:p>
        </w:tc>
      </w:tr>
      <w:tr>
        <w:tc>
          <w:tcPr/>
          <w:p>
            <w:pPr>
              <w:pStyle w:val="Compact"/>
              <w:jc w:val="left"/>
            </w:pPr>
            <w:r>
              <w:t xml:space="preserve">03</w:t>
            </w:r>
          </w:p>
        </w:tc>
        <w:tc>
          <w:tcPr/>
          <w:p>
            <w:pPr>
              <w:pStyle w:val="Compact"/>
              <w:jc w:val="left"/>
            </w:pPr>
            <w:r>
              <w:t xml:space="preserve">Ultra-Low Temperature Freezer – Thermo Fisher -80°C, 470L, for long-term sample storage in Riyadh laboratory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04</w:t>
            </w:r>
          </w:p>
        </w:tc>
        <w:tc>
          <w:tcPr/>
          <w:p>
            <w:pPr>
              <w:pStyle w:val="Compact"/>
              <w:jc w:val="left"/>
            </w:pPr>
            <w:r>
              <w:t xml:space="preserve">Centrifuge – Eppendorf 5910 R, 24×50 mL, for the Medical Researcher's plasma separation workflow</w:t>
            </w:r>
          </w:p>
        </w:tc>
        <w:tc>
          <w:tcPr/>
          <w:p>
            <w:pPr>
              <w:pStyle w:val="Compact"/>
              <w:jc w:val="left"/>
            </w:pPr>
            <w:r>
              <w:t xml:space="preserve">2</w:t>
            </w:r>
          </w:p>
        </w:tc>
        <w:tc>
          <w:tcPr/>
          <w:p>
            <w:pPr>
              <w:pStyle w:val="Compact"/>
              <w:jc w:val="left"/>
            </w:pPr>
            <w:r>
              <w:t xml:space="preserve">Unit</w:t>
            </w:r>
          </w:p>
        </w:tc>
        <w:tc>
          <w:tcPr/>
          <w:p>
            <w:pPr>
              <w:pStyle w:val="Compact"/>
              <w:jc w:val="left"/>
            </w:pPr>
            <w:r>
              <w:t xml:space="preserve">24,300.00</w:t>
            </w:r>
          </w:p>
        </w:tc>
        <w:tc>
          <w:tcPr/>
          <w:p>
            <w:pPr>
              <w:pStyle w:val="Compact"/>
              <w:jc w:val="left"/>
            </w:pPr>
            <w:r>
              <w:t xml:space="preserve">48,600.00</w:t>
            </w:r>
          </w:p>
        </w:tc>
      </w:tr>
      <w:tr>
        <w:tc>
          <w:tcPr/>
          <w:p>
            <w:pPr>
              <w:pStyle w:val="Compact"/>
              <w:jc w:val="left"/>
            </w:pPr>
            <w:r>
              <w:t xml:space="preserve">05</w:t>
            </w:r>
          </w:p>
        </w:tc>
        <w:tc>
          <w:tcPr/>
          <w:p>
            <w:pPr>
              <w:pStyle w:val="Compact"/>
              <w:jc w:val="left"/>
            </w:pPr>
            <w:r>
              <w:t xml:space="preserve">Assay Reagent Kit – Metabolic Panel (Glucose, HbA1c, Lipid Profile, Insulin), 500 tests per kit</w:t>
            </w:r>
          </w:p>
        </w:tc>
        <w:tc>
          <w:tcPr/>
          <w:p>
            <w:pPr>
              <w:pStyle w:val="Compact"/>
              <w:jc w:val="left"/>
            </w:pPr>
            <w:r>
              <w:t xml:space="preserve">10</w:t>
            </w:r>
          </w:p>
        </w:tc>
        <w:tc>
          <w:tcPr/>
          <w:p>
            <w:pPr>
              <w:pStyle w:val="Compact"/>
              <w:jc w:val="left"/>
            </w:pPr>
            <w:r>
              <w:t xml:space="preserve">Kit</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Consumables Bundle – PCR tubes, tips, microcentrifuge tubes, filter paper, nitrile gloves (annual supply for one Medical Researcher)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18,450.00</w:t>
            </w:r>
          </w:p>
        </w:tc>
        <w:tc>
          <w:tcPr/>
          <w:p>
            <w:pPr>
              <w:pStyle w:val="Compact"/>
              <w:jc w:val="left"/>
            </w:pPr>
            <w:r>
              <w:t xml:space="preserve">18,450.00</w:t>
            </w:r>
          </w:p>
        </w:tc>
      </w:tr>
      <w:tr>
        <w:tc>
          <w:tcPr/>
          <w:p>
            <w:pPr>
              <w:pStyle w:val="Compact"/>
              <w:jc w:val="left"/>
            </w:pPr>
            <w:r>
              <w:t xml:space="preserve">07</w:t>
            </w:r>
          </w:p>
        </w:tc>
        <w:tc>
          <w:tcPr/>
          <w:p>
            <w:pPr>
              <w:pStyle w:val="Compact"/>
              <w:jc w:val="left"/>
            </w:pPr>
            <w:r>
              <w:t xml:space="preserve">Software License – LabWare LIMS (Laboratory Information Management System), 3-year subscription, 1 user seat for the Medical Researcher</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08</w:t>
            </w:r>
          </w:p>
        </w:tc>
        <w:tc>
          <w:tcPr/>
          <w:p>
            <w:pPr>
              <w:pStyle w:val="Compact"/>
              <w:jc w:val="left"/>
            </w:pPr>
            <w:r>
              <w:t xml:space="preserve">Installation, Calibration &amp; Training Service – On-site at KFMRI Riyadh campus, including 2-day hands-on training for the Medical Researcher and 2 lab technicians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22,000.00</w:t>
            </w:r>
          </w:p>
        </w:tc>
        <w:tc>
          <w:tcPr/>
          <w:p>
            <w:pPr>
              <w:pStyle w:val="Compact"/>
              <w:jc w:val="left"/>
            </w:pPr>
            <w:r>
              <w:t xml:space="preserve">22,000.00</w:t>
            </w:r>
          </w:p>
        </w:tc>
      </w:tr>
    </w:tbl>
    <w:p>
      <w:pPr>
        <w:pStyle w:val="BodyText"/>
      </w:pPr>
      <w:r>
        <w:t xml:space="preserve">Subtotal: SAR 785,400.00</w:t>
      </w:r>
    </w:p>
    <w:p>
      <w:pPr>
        <w:pStyle w:val="BodyText"/>
      </w:pPr>
      <w:r>
        <w:t xml:space="preserve">VAT (15%): SAR 117,810.00</w:t>
      </w:r>
    </w:p>
    <w:p>
      <w:pPr>
        <w:pStyle w:val="BodyText"/>
      </w:pPr>
      <w:r>
        <w:t xml:space="preserve">Grand Total: SAR 903,210.00</w:t>
      </w:r>
    </w:p>
    <w:bookmarkEnd w:id="24"/>
    <w:bookmarkStart w:id="25" w:name="delivery-and-installation"/>
    <w:p>
      <w:pPr>
        <w:pStyle w:val="Heading2"/>
      </w:pPr>
      <w:r>
        <w:t xml:space="preserve">5. Delivery and Installation</w:t>
      </w:r>
    </w:p>
    <w:p>
      <w:pPr>
        <w:pStyle w:val="FirstParagraph"/>
      </w:pPr>
      <w:r>
        <w:t xml:space="preserve">All equipment and materials referenced in this Purchase Order shall be delivered to the King Fahd Medical Research Institute, Al Olaya District,</w:t>
      </w:r>
      <w:r>
        <w:t xml:space="preserve"> </w:t>
      </w:r>
      <w:r>
        <w:rPr>
          <w:bCs/>
          <w:b/>
        </w:rPr>
        <w:t xml:space="preserve">Riyadh, Saudi Arabia</w:t>
      </w:r>
      <w:r>
        <w:t xml:space="preserve">, no later than 15 July 2025. The supplier is responsible for all freight, customs clearance (if applicable for imported components), insurance, and last-mile delivery within the Riyadh metropolitan area. Installation and calibration of all capital equipment must be completed within five (5) business days of physical delivery. The Medical Researcher, Dr. Al-Qahtani, or her designated laboratory manager shall sign the delivery and installation acceptance certificate. The supplier must provide a minimum of ten (10) business days' written notice prior to the scheduled delivery date to allow the receiving team at the Riyadh facility to prepare the laboratory space, verify electrical and ventilation requirements, and coordinate with the institute's facilities management office.</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Kingdom of Saudi Arabia and the Saudi Civil Transactions Law (Royal Decree No. M/191, 2023). Any disputes arising from this Purchase Order shall be subject to the exclusive jurisdiction of the competent courts in Riyadh, Saudi Arabia.</w:t>
      </w:r>
    </w:p>
    <w:p>
      <w:pPr>
        <w:numPr>
          <w:ilvl w:val="0"/>
          <w:numId w:val="1001"/>
        </w:numPr>
        <w:pStyle w:val="Compact"/>
      </w:pPr>
      <w:r>
        <w:rPr>
          <w:bCs/>
          <w:b/>
        </w:rPr>
        <w:t xml:space="preserve">6.2</w:t>
      </w:r>
      <w:r>
        <w:t xml:space="preserve"> </w:t>
      </w:r>
      <w:r>
        <w:t xml:space="preserve">The supplier warrants that all equipment and reagents conform to the specifications outlined in the attached technical annex (Annex A) and comply with the Saudi Food and Drug Authority (SFDA) registration requirements for medical and laboratory devices.</w:t>
      </w:r>
    </w:p>
    <w:p>
      <w:pPr>
        <w:numPr>
          <w:ilvl w:val="0"/>
          <w:numId w:val="1001"/>
        </w:numPr>
        <w:pStyle w:val="Compact"/>
      </w:pPr>
      <w:r>
        <w:rPr>
          <w:bCs/>
          <w:b/>
        </w:rPr>
        <w:t xml:space="preserve">6.3</w:t>
      </w:r>
      <w:r>
        <w:t xml:space="preserve"> </w:t>
      </w:r>
      <w:r>
        <w:t xml:space="preserve">A minimum 24-month warranty is provided on all capital equipment from the date of installation acceptance. Consumables and reagents carry a shelf-life guarantee of no less than 12 months from the date of delivery to the Riyadh laboratory.</w:t>
      </w:r>
    </w:p>
    <w:p>
      <w:pPr>
        <w:numPr>
          <w:ilvl w:val="0"/>
          <w:numId w:val="1001"/>
        </w:numPr>
        <w:pStyle w:val="Compact"/>
      </w:pPr>
      <w:r>
        <w:rPr>
          <w:bCs/>
          <w:b/>
        </w:rPr>
        <w:t xml:space="preserve">6.4</w:t>
      </w:r>
      <w:r>
        <w:t xml:space="preserve"> </w:t>
      </w:r>
      <w:r>
        <w:t xml:space="preserve">Payment shall be made via bank transfer to the supplier's designated account in Saudi Riyal (SAR) within forty-five (45) calendar days from the date of a valid, tax-compliant invoice issued in accordance with the ZATCA (Zakat, Tax and Customs Authority) e-invoicing requirements.</w:t>
      </w:r>
    </w:p>
    <w:p>
      <w:pPr>
        <w:numPr>
          <w:ilvl w:val="0"/>
          <w:numId w:val="1001"/>
        </w:numPr>
        <w:pStyle w:val="Compact"/>
      </w:pPr>
      <w:r>
        <w:rPr>
          <w:bCs/>
          <w:b/>
        </w:rPr>
        <w:t xml:space="preserve">6.5</w:t>
      </w:r>
      <w:r>
        <w:t xml:space="preserve"> </w:t>
      </w:r>
      <w:r>
        <w:t xml:space="preserve">The supplier shall not subcontract any portion of the installation or training services without prior written consent from the Buyer's procurement office in Riyadh.</w:t>
      </w:r>
    </w:p>
    <w:p>
      <w:pPr>
        <w:numPr>
          <w:ilvl w:val="0"/>
          <w:numId w:val="1001"/>
        </w:numPr>
        <w:pStyle w:val="Compact"/>
      </w:pPr>
      <w:r>
        <w:rPr>
          <w:bCs/>
          <w:b/>
        </w:rPr>
        <w:t xml:space="preserve">6.6</w:t>
      </w:r>
      <w:r>
        <w:t xml:space="preserve"> </w:t>
      </w:r>
      <w:r>
        <w:t xml:space="preserve">All data generated by the Medical Researcher using the procured equipment remains the sole intellectual property of the King Fahd Medical Research Institute. The supplier shall not access, store, or transmit any research data.</w:t>
      </w:r>
    </w:p>
    <w:p>
      <w:pPr>
        <w:numPr>
          <w:ilvl w:val="0"/>
          <w:numId w:val="1001"/>
        </w:numPr>
        <w:pStyle w:val="Compact"/>
      </w:pPr>
      <w:r>
        <w:rPr>
          <w:bCs/>
          <w:b/>
        </w:rPr>
        <w:t xml:space="preserve">6.7</w:t>
      </w:r>
      <w:r>
        <w:t xml:space="preserve"> </w:t>
      </w:r>
      <w:r>
        <w:t xml:space="preserve">Late delivery beyond the stipulated date of 15 July 2025 shall incur a penalty of 0.5% of the total Purchase Order value per calendar day, capped at 10% of the total value.</w:t>
      </w:r>
    </w:p>
    <w:p>
      <w:pPr>
        <w:numPr>
          <w:ilvl w:val="0"/>
          <w:numId w:val="1001"/>
        </w:numPr>
        <w:pStyle w:val="Compact"/>
      </w:pPr>
      <w:r>
        <w:rPr>
          <w:bCs/>
          <w:b/>
        </w:rPr>
        <w:t xml:space="preserve">6.8</w:t>
      </w:r>
      <w:r>
        <w:t xml:space="preserve"> </w:t>
      </w:r>
      <w:r>
        <w:t xml:space="preserve">This Purchase Order may be amended only by mutual written agreement signed by both parties. Verbal modifications are not valid.</w:t>
      </w:r>
    </w:p>
    <w:bookmarkEnd w:id="26"/>
    <w:bookmarkStart w:id="27" w:name="approval-and-authorization"/>
    <w:p>
      <w:pPr>
        <w:pStyle w:val="Heading2"/>
      </w:pPr>
      <w:r>
        <w:t xml:space="preserve">7. Approval and Authorization</w:t>
      </w:r>
    </w:p>
    <w:p>
      <w:pPr>
        <w:pStyle w:val="FirstParagraph"/>
      </w:pPr>
      <w:r>
        <w:t xml:space="preserve">This Purchase Order has been reviewed and approved by the undersigned authorized representatives. The Medical Researcher, Dr. Layla Hassan Al-Qahtani, has confirmed that the items listed herein are necessary for the continuation of her approved research protocol (Protocol No. MR-RIY-2025-014) and that the budget allocation from the institute's research grant (Grant Ref: KACST-2025-0892) is sufficient to cover the total value of this Purchase Order.</w:t>
      </w:r>
    </w:p>
    <w:bookmarkEnd w:id="27"/>
    <w:p>
      <w:pPr>
        <w:pStyle w:val="BodyText"/>
      </w:pPr>
      <w:r>
        <w:rPr>
          <w:bCs/>
          <w:b/>
        </w:rPr>
        <w:t xml:space="preserve">Dr. Abdullah Al-Rashidi</w:t>
      </w:r>
      <w:r>
        <w:br/>
      </w:r>
      <w:r>
        <w:t xml:space="preserve">Head of Procurement &amp; Supply Chain</w:t>
      </w:r>
      <w:r>
        <w:br/>
      </w:r>
      <w:r>
        <w:t xml:space="preserve">King Fahd Medical Research Institute</w:t>
      </w:r>
      <w:r>
        <w:br/>
      </w:r>
      <w:r>
        <w:t xml:space="preserve">Riyadh, Saudi Arabia</w:t>
      </w:r>
      <w:r>
        <w:br/>
      </w:r>
      <w:r>
        <w:t xml:space="preserve">Date: _______________</w:t>
      </w:r>
    </w:p>
    <w:p>
      <w:pPr>
        <w:pStyle w:val="BodyText"/>
      </w:pPr>
      <w:r>
        <w:rPr>
          <w:bCs/>
          <w:b/>
        </w:rPr>
        <w:t xml:space="preserve">Ms. Sarah Al-Otaibi</w:t>
      </w:r>
      <w:r>
        <w:br/>
      </w:r>
      <w:r>
        <w:t xml:space="preserve">Regional Sales Director</w:t>
      </w:r>
      <w:r>
        <w:br/>
      </w:r>
      <w:r>
        <w:t xml:space="preserve">MedLab Scientific Solutions (Riyadh)</w:t>
      </w:r>
      <w:r>
        <w:br/>
      </w:r>
      <w:r>
        <w:t xml:space="preserve">Riyadh, Saudi Arabia</w:t>
      </w:r>
      <w:r>
        <w:br/>
      </w:r>
      <w:r>
        <w:t xml:space="preserve">Date: _______________</w:t>
      </w:r>
    </w:p>
    <w:p>
      <w:pPr>
        <w:pStyle w:val="BodyText"/>
      </w:pPr>
      <w:r>
        <w:rPr>
          <w:bCs/>
          <w:b/>
        </w:rPr>
        <w:t xml:space="preserve">Dr. Layla Hassan Al-Qahtani</w:t>
      </w:r>
      <w:r>
        <w:br/>
      </w:r>
      <w:r>
        <w:t xml:space="preserve">Medical Researcher (Requesting Officer)</w:t>
      </w:r>
      <w:r>
        <w:br/>
      </w:r>
      <w:r>
        <w:t xml:space="preserve">Clinical &amp; Translational Research Dept.</w:t>
      </w:r>
      <w:r>
        <w:br/>
      </w:r>
      <w:r>
        <w:t xml:space="preserve">Riyadh, Saudi Arabia</w:t>
      </w:r>
      <w:r>
        <w:br/>
      </w:r>
      <w:r>
        <w:t xml:space="preserve">Date: _______________</w:t>
      </w:r>
    </w:p>
    <w:p>
      <w:pPr>
        <w:pStyle w:val="BodyText"/>
      </w:pPr>
      <w:r>
        <w:rPr>
          <w:bCs/>
          <w:b/>
        </w:rPr>
        <w:t xml:space="preserve">Prof. Khalid Al-Mutairi</w:t>
      </w:r>
      <w:r>
        <w:br/>
      </w:r>
      <w:r>
        <w:t xml:space="preserve">Director, King Fahd Medical Research Institute</w:t>
      </w:r>
      <w:r>
        <w:br/>
      </w:r>
      <w:r>
        <w:t xml:space="preserve">Final Authorization</w:t>
      </w:r>
      <w:r>
        <w:br/>
      </w:r>
      <w:r>
        <w:t xml:space="preserve">Riyadh, Saudi Arabia</w:t>
      </w:r>
      <w:r>
        <w:br/>
      </w:r>
      <w:r>
        <w:t xml:space="preserve">Date: _______________</w:t>
      </w:r>
    </w:p>
    <w:p>
      <w:pPr>
        <w:pStyle w:val="BodyText"/>
      </w:pPr>
      <w:r>
        <w:t xml:space="preserve">This Purchase Order (PO-KFMR-2025-04872) is issued by the King Fahd Medical Research Institute, Riyadh, Saudi Arabia, for the procurement of research equipment and supplies in support of a Medical Researcher's clinical study. This document is valid for a period of ninety (90) days from the date of issue. Unauthorized reproduction or distribution of this Purchase Order is prohibited. For inquiries, contact the Procurement Office at +966-11-460-2233 or procurement@kfMRI.sa. All transactions are subject to the regulations of the Saudi Ministry of Health and the Saudi Food and Drug Authority (SFDA).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Saudi Arabia Riyadh</dc:title>
  <dc:creator/>
  <dc:language>en</dc:language>
  <cp:keywords/>
  <dcterms:created xsi:type="dcterms:W3CDTF">2026-10-10T08:50:36Z</dcterms:created>
  <dcterms:modified xsi:type="dcterms:W3CDTF">2026-10-10T08:50:36Z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