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Medical</w:t>
      </w:r>
      <w:r>
        <w:t xml:space="preserve"> </w:t>
      </w:r>
      <w:r>
        <w:t xml:space="preserve">Researcher</w:t>
      </w:r>
      <w:r>
        <w:t xml:space="preserve"> </w:t>
      </w:r>
      <w:r>
        <w:t xml:space="preserve">-</w:t>
      </w:r>
      <w:r>
        <w:t xml:space="preserve"> </w:t>
      </w:r>
      <w:r>
        <w:t xml:space="preserve">South</w:t>
      </w:r>
      <w:r>
        <w:t xml:space="preserve"> </w:t>
      </w:r>
      <w:r>
        <w:t xml:space="preserve">Africa</w:t>
      </w:r>
      <w:r>
        <w:t xml:space="preserve"> </w:t>
      </w:r>
      <w:r>
        <w:t xml:space="preserve">Johannesburg</w:t>
      </w:r>
    </w:p>
    <w:bookmarkStart w:id="20" w:name="purchase-order"/>
    <w:p>
      <w:pPr>
        <w:pStyle w:val="Heading1"/>
      </w:pPr>
      <w:r>
        <w:t xml:space="preserve">PURCHASE ORDER</w:t>
      </w:r>
    </w:p>
    <w:p>
      <w:pPr>
        <w:pStyle w:val="FirstParagraph"/>
      </w:pPr>
      <w:r>
        <w:t xml:space="preserve">Medical Research Laboratory Procurement Division</w:t>
      </w:r>
    </w:p>
    <w:p>
      <w:pPr>
        <w:pStyle w:val="BodyText"/>
      </w:pPr>
      <w:r>
        <w:t xml:space="preserve">University of Johannesburg Research Institute</w:t>
      </w:r>
    </w:p>
    <w:p>
      <w:pPr>
        <w:pStyle w:val="BodyText"/>
      </w:pPr>
      <w:r>
        <w:t xml:space="preserve">1000 Jan Smuts Avenue, Braamfontein, Johannesburg, 2008, South Africa</w:t>
      </w:r>
    </w:p>
    <w:p>
      <w:pPr>
        <w:pStyle w:val="BodyText"/>
      </w:pPr>
      <w:r>
        <w:t xml:space="preserve">Tel: +27 (0)11 559 1000 | Email: procurement@ujri.ac.za</w:t>
      </w:r>
    </w:p>
    <w:bookmarkEnd w:id="20"/>
    <w:bookmarkStart w:id="21" w:name="purchase-order-details"/>
    <w:p>
      <w:pPr>
        <w:pStyle w:val="Heading3"/>
      </w:pPr>
      <w:r>
        <w:t xml:space="preserve">Purchase Order Details</w:t>
      </w:r>
    </w:p>
    <w:p>
      <w:pPr>
        <w:pStyle w:val="FirstParagraph"/>
      </w:pPr>
      <w:r>
        <w:rPr>
          <w:bCs/>
          <w:b/>
        </w:rPr>
        <w:t xml:space="preserve">PO Number:</w:t>
      </w:r>
      <w:r>
        <w:t xml:space="preserve"> </w:t>
      </w:r>
      <w:r>
        <w:t xml:space="preserve">PO-JHB-2025-04871</w:t>
      </w:r>
    </w:p>
    <w:p>
      <w:pPr>
        <w:pStyle w:val="BodyText"/>
      </w:pPr>
      <w:r>
        <w:rPr>
          <w:bCs/>
          <w:b/>
        </w:rPr>
        <w:t xml:space="preserve">Date of Issue:</w:t>
      </w:r>
      <w:r>
        <w:t xml:space="preserve"> </w:t>
      </w:r>
      <w:r>
        <w:t xml:space="preserve">14 June 2025</w:t>
      </w:r>
    </w:p>
    <w:p>
      <w:pPr>
        <w:pStyle w:val="BodyText"/>
      </w:pPr>
      <w:r>
        <w:rPr>
          <w:bCs/>
          <w:b/>
        </w:rPr>
        <w:t xml:space="preserve">Required Delivery Date:</w:t>
      </w:r>
      <w:r>
        <w:t xml:space="preserve"> </w:t>
      </w:r>
      <w:r>
        <w:t xml:space="preserve">08 July 2025</w:t>
      </w:r>
    </w:p>
    <w:p>
      <w:pPr>
        <w:pStyle w:val="BodyText"/>
      </w:pPr>
      <w:r>
        <w:rPr>
          <w:bCs/>
          <w:b/>
        </w:rPr>
        <w:t xml:space="preserve">Payment Terms:</w:t>
      </w:r>
      <w:r>
        <w:t xml:space="preserve"> </w:t>
      </w:r>
      <w:r>
        <w:t xml:space="preserve">Net 30 Days</w:t>
      </w:r>
    </w:p>
    <w:p>
      <w:pPr>
        <w:pStyle w:val="BodyText"/>
      </w:pPr>
      <w:r>
        <w:rPr>
          <w:bCs/>
          <w:b/>
        </w:rPr>
        <w:t xml:space="preserve">Project Reference:</w:t>
      </w:r>
      <w:r>
        <w:t xml:space="preserve"> </w:t>
      </w:r>
      <w:r>
        <w:t xml:space="preserve">MRC-2025-Phase III Clinical Trials</w:t>
      </w:r>
    </w:p>
    <w:bookmarkEnd w:id="21"/>
    <w:bookmarkStart w:id="22" w:name="buyer-receiving-party"/>
    <w:p>
      <w:pPr>
        <w:pStyle w:val="Heading3"/>
      </w:pPr>
      <w:r>
        <w:t xml:space="preserve">Buyer (Receiving Party)</w:t>
      </w:r>
    </w:p>
    <w:p>
      <w:pPr>
        <w:pStyle w:val="FirstParagraph"/>
      </w:pPr>
      <w:r>
        <w:rPr>
          <w:bCs/>
          <w:b/>
        </w:rPr>
        <w:t xml:space="preserve">Dr. Thandiwe Mokoena</w:t>
      </w:r>
    </w:p>
    <w:p>
      <w:pPr>
        <w:pStyle w:val="BodyText"/>
      </w:pPr>
      <w:r>
        <w:t xml:space="preserve">Lead Medical Researcher</w:t>
      </w:r>
    </w:p>
    <w:p>
      <w:pPr>
        <w:pStyle w:val="BodyText"/>
      </w:pPr>
      <w:r>
        <w:t xml:space="preserve">Department of Biomedical Sciences</w:t>
      </w:r>
    </w:p>
    <w:p>
      <w:pPr>
        <w:pStyle w:val="BodyText"/>
      </w:pPr>
      <w:r>
        <w:t xml:space="preserve">University of Johannesburg Research Institute</w:t>
      </w:r>
    </w:p>
    <w:p>
      <w:pPr>
        <w:pStyle w:val="BodyText"/>
      </w:pPr>
      <w:r>
        <w:t xml:space="preserve">Braamfontein, Johannesburg, South Africa</w:t>
      </w:r>
    </w:p>
    <w:p>
      <w:pPr>
        <w:pStyle w:val="BodyText"/>
      </w:pPr>
      <w:r>
        <w:t xml:space="preserve">Phone: +27 (0)11 559 2341</w:t>
      </w:r>
    </w:p>
    <w:p>
      <w:pPr>
        <w:pStyle w:val="BodyText"/>
      </w:pPr>
      <w:r>
        <w:t xml:space="preserve">Email: t.mokoena@ujri.ac.za</w:t>
      </w:r>
    </w:p>
    <w:bookmarkEnd w:id="22"/>
    <w:bookmarkStart w:id="23" w:name="supplier-vendor"/>
    <w:p>
      <w:pPr>
        <w:pStyle w:val="Heading3"/>
      </w:pPr>
      <w:r>
        <w:t xml:space="preserve">Supplier (Vendor)</w:t>
      </w:r>
    </w:p>
    <w:p>
      <w:pPr>
        <w:pStyle w:val="FirstParagraph"/>
      </w:pPr>
      <w:r>
        <w:rPr>
          <w:bCs/>
          <w:b/>
        </w:rPr>
        <w:t xml:space="preserve">MedLab Supplies (Pty) Ltd</w:t>
      </w:r>
    </w:p>
    <w:p>
      <w:pPr>
        <w:pStyle w:val="BodyText"/>
      </w:pPr>
      <w:r>
        <w:t xml:space="preserve">Unit 7, 42 Rivonia Road</w:t>
      </w:r>
    </w:p>
    <w:p>
      <w:pPr>
        <w:pStyle w:val="BodyText"/>
      </w:pPr>
      <w:r>
        <w:t xml:space="preserve">Rivonia, Sandton, Johannesburg</w:t>
      </w:r>
    </w:p>
    <w:p>
      <w:pPr>
        <w:pStyle w:val="BodyText"/>
      </w:pPr>
      <w:r>
        <w:t xml:space="preserve">South Africa, 2128</w:t>
      </w:r>
    </w:p>
    <w:p>
      <w:pPr>
        <w:pStyle w:val="BodyText"/>
      </w:pPr>
      <w:r>
        <w:t xml:space="preserve">VAT No: 4910238765</w:t>
      </w:r>
    </w:p>
    <w:p>
      <w:pPr>
        <w:pStyle w:val="BodyText"/>
      </w:pPr>
      <w:r>
        <w:t xml:space="preserve">Phone: +27 (0)11 372 8890</w:t>
      </w:r>
    </w:p>
    <w:p>
      <w:pPr>
        <w:pStyle w:val="BodyText"/>
      </w:pPr>
      <w:r>
        <w:t xml:space="preserve">Email: sales@medlabsupplies.co.za</w:t>
      </w:r>
    </w:p>
    <w:bookmarkEnd w:id="23"/>
    <w:bookmarkStart w:id="24" w:name="Xf0abdac069f2497f9667ca2867acb4fa55d17c0"/>
    <w:p>
      <w:pPr>
        <w:pStyle w:val="Heading2"/>
      </w:pPr>
      <w:r>
        <w:t xml:space="preserve">Line Items – Medical Researcher Equipment &amp; Consumables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SKU / Catalogue Ref</w:t>
            </w:r>
          </w:p>
        </w:tc>
        <w:tc>
          <w:tcPr/>
          <w:p>
            <w:pPr>
              <w:pStyle w:val="Compact"/>
              <w:jc w:val="left"/>
            </w:pPr>
            <w:r>
              <w:t xml:space="preserve">Qty</w:t>
            </w:r>
          </w:p>
        </w:tc>
        <w:tc>
          <w:tcPr/>
          <w:p>
            <w:pPr>
              <w:pStyle w:val="Compact"/>
              <w:jc w:val="left"/>
            </w:pPr>
            <w:r>
              <w:t xml:space="preserve">Unit Price (ZAR)</w:t>
            </w:r>
          </w:p>
        </w:tc>
        <w:tc>
          <w:tcPr/>
          <w:p>
            <w:pPr>
              <w:pStyle w:val="Compact"/>
              <w:jc w:val="left"/>
            </w:pPr>
            <w:r>
              <w:t xml:space="preserve">Line Total (ZAR)</w:t>
            </w:r>
          </w:p>
        </w:tc>
      </w:tr>
      <w:tr>
        <w:tc>
          <w:tcPr/>
          <w:p>
            <w:pPr>
              <w:pStyle w:val="Compact"/>
              <w:jc w:val="left"/>
            </w:pPr>
            <w:r>
              <w:t xml:space="preserve">1</w:t>
            </w:r>
          </w:p>
        </w:tc>
        <w:tc>
          <w:tcPr/>
          <w:p>
            <w:pPr>
              <w:pStyle w:val="Compact"/>
              <w:jc w:val="left"/>
            </w:pPr>
            <w:r>
              <w:t xml:space="preserve">Real-Time PCR Thermal Cycler (96-well) – for genomic analysis by the Medical Researcher team</w:t>
            </w:r>
          </w:p>
        </w:tc>
        <w:tc>
          <w:tcPr/>
          <w:p>
            <w:pPr>
              <w:pStyle w:val="Compact"/>
              <w:jc w:val="left"/>
            </w:pPr>
            <w:r>
              <w:t xml:space="preserve">RT-PCR-96X</w:t>
            </w:r>
          </w:p>
        </w:tc>
        <w:tc>
          <w:tcPr/>
          <w:p>
            <w:pPr>
              <w:pStyle w:val="Compact"/>
              <w:jc w:val="left"/>
            </w:pPr>
            <w:r>
              <w:t xml:space="preserve">2</w:t>
            </w:r>
          </w:p>
        </w:tc>
        <w:tc>
          <w:tcPr/>
          <w:p>
            <w:pPr>
              <w:pStyle w:val="Compact"/>
              <w:jc w:val="left"/>
            </w:pPr>
            <w:r>
              <w:t xml:space="preserve">185,000.00</w:t>
            </w:r>
          </w:p>
        </w:tc>
        <w:tc>
          <w:tcPr/>
          <w:p>
            <w:pPr>
              <w:pStyle w:val="Compact"/>
              <w:jc w:val="left"/>
            </w:pPr>
            <w:r>
              <w:t xml:space="preserve">370,000.00</w:t>
            </w:r>
          </w:p>
        </w:tc>
      </w:tr>
      <w:tr>
        <w:tc>
          <w:tcPr/>
          <w:p>
            <w:pPr>
              <w:pStyle w:val="Compact"/>
              <w:jc w:val="left"/>
            </w:pPr>
            <w:r>
              <w:t xml:space="preserve">2</w:t>
            </w:r>
          </w:p>
        </w:tc>
        <w:tc>
          <w:tcPr/>
          <w:p>
            <w:pPr>
              <w:pStyle w:val="Compact"/>
              <w:jc w:val="left"/>
            </w:pPr>
            <w:r>
              <w:t xml:space="preserve">Centrifuge, High-Speed (15,000 RPM) – laboratory sample preparation</w:t>
            </w:r>
          </w:p>
        </w:tc>
        <w:tc>
          <w:tcPr/>
          <w:p>
            <w:pPr>
              <w:pStyle w:val="Compact"/>
              <w:jc w:val="left"/>
            </w:pPr>
            <w:r>
              <w:t xml:space="preserve">HS-CEN-15K</w:t>
            </w:r>
          </w:p>
        </w:tc>
        <w:tc>
          <w:tcPr/>
          <w:p>
            <w:pPr>
              <w:pStyle w:val="Compact"/>
              <w:jc w:val="left"/>
            </w:pPr>
            <w:r>
              <w:t xml:space="preserve">1</w:t>
            </w:r>
          </w:p>
        </w:tc>
        <w:tc>
          <w:tcPr/>
          <w:p>
            <w:pPr>
              <w:pStyle w:val="Compact"/>
              <w:jc w:val="left"/>
            </w:pPr>
            <w:r>
              <w:t xml:space="preserve">92,500.00</w:t>
            </w:r>
          </w:p>
        </w:tc>
        <w:tc>
          <w:tcPr/>
          <w:p>
            <w:pPr>
              <w:pStyle w:val="Compact"/>
              <w:jc w:val="left"/>
            </w:pPr>
            <w:r>
              <w:t xml:space="preserve">92,500.00</w:t>
            </w:r>
          </w:p>
        </w:tc>
      </w:tr>
      <w:tr>
        <w:tc>
          <w:tcPr/>
          <w:p>
            <w:pPr>
              <w:pStyle w:val="Compact"/>
              <w:jc w:val="left"/>
            </w:pPr>
            <w:r>
              <w:t xml:space="preserve">3</w:t>
            </w:r>
          </w:p>
        </w:tc>
        <w:tc>
          <w:tcPr/>
          <w:p>
            <w:pPr>
              <w:pStyle w:val="Compact"/>
              <w:jc w:val="left"/>
            </w:pPr>
            <w:r>
              <w:t xml:space="preserve">Cell Culture Incubator, CO₂ Controlled (37°C) – for in-vitro medical research</w:t>
            </w:r>
          </w:p>
        </w:tc>
        <w:tc>
          <w:tcPr/>
          <w:p>
            <w:pPr>
              <w:pStyle w:val="Compact"/>
              <w:jc w:val="left"/>
            </w:pPr>
            <w:r>
              <w:t xml:space="preserve">CC-INC-37C</w:t>
            </w:r>
          </w:p>
        </w:tc>
        <w:tc>
          <w:tcPr/>
          <w:p>
            <w:pPr>
              <w:pStyle w:val="Compact"/>
              <w:jc w:val="left"/>
            </w:pPr>
            <w:r>
              <w:t xml:space="preserve">2</w:t>
            </w:r>
          </w:p>
        </w:tc>
        <w:tc>
          <w:tcPr/>
          <w:p>
            <w:pPr>
              <w:pStyle w:val="Compact"/>
              <w:jc w:val="left"/>
            </w:pPr>
            <w:r>
              <w:t xml:space="preserve">68,000.00</w:t>
            </w:r>
          </w:p>
        </w:tc>
        <w:tc>
          <w:tcPr/>
          <w:p>
            <w:pPr>
              <w:pStyle w:val="Compact"/>
              <w:jc w:val="left"/>
            </w:pPr>
            <w:r>
              <w:t xml:space="preserve">136,000.00</w:t>
            </w:r>
          </w:p>
        </w:tc>
      </w:tr>
      <w:tr>
        <w:tc>
          <w:tcPr/>
          <w:p>
            <w:pPr>
              <w:pStyle w:val="Compact"/>
              <w:jc w:val="left"/>
            </w:pPr>
            <w:r>
              <w:t xml:space="preserve">4</w:t>
            </w:r>
          </w:p>
        </w:tc>
        <w:tc>
          <w:tcPr/>
          <w:p>
            <w:pPr>
              <w:pStyle w:val="Compact"/>
              <w:jc w:val="left"/>
            </w:pPr>
            <w:r>
              <w:t xml:space="preserve">Monoclonal Antibody Kit (Human Cytokine Panel, 24-plex)</w:t>
            </w:r>
          </w:p>
        </w:tc>
        <w:tc>
          <w:tcPr/>
          <w:p>
            <w:pPr>
              <w:pStyle w:val="Compact"/>
              <w:jc w:val="left"/>
            </w:pPr>
            <w:r>
              <w:t xml:space="preserve">MAK-24P-HC</w:t>
            </w:r>
          </w:p>
        </w:tc>
        <w:tc>
          <w:tcPr/>
          <w:p>
            <w:pPr>
              <w:pStyle w:val="Compact"/>
              <w:jc w:val="left"/>
            </w:pPr>
            <w:r>
              <w:t xml:space="preserve">10</w:t>
            </w:r>
          </w:p>
        </w:tc>
        <w:tc>
          <w:tcPr/>
          <w:p>
            <w:pPr>
              <w:pStyle w:val="Compact"/>
              <w:jc w:val="left"/>
            </w:pPr>
            <w:r>
              <w:t xml:space="preserve">4,850.00</w:t>
            </w:r>
          </w:p>
        </w:tc>
        <w:tc>
          <w:tcPr/>
          <w:p>
            <w:pPr>
              <w:pStyle w:val="Compact"/>
              <w:jc w:val="left"/>
            </w:pPr>
            <w:r>
              <w:t xml:space="preserve">48,500.00</w:t>
            </w:r>
          </w:p>
        </w:tc>
      </w:tr>
      <w:tr>
        <w:tc>
          <w:tcPr/>
          <w:p>
            <w:pPr>
              <w:pStyle w:val="Compact"/>
              <w:jc w:val="left"/>
            </w:pPr>
            <w:r>
              <w:t xml:space="preserve">5</w:t>
            </w:r>
          </w:p>
        </w:tc>
        <w:tc>
          <w:tcPr/>
          <w:p>
            <w:pPr>
              <w:pStyle w:val="Compact"/>
              <w:jc w:val="left"/>
            </w:pPr>
            <w:r>
              <w:t xml:space="preserve">DNase/RNase-Free Water, 1 L (Case of 12)</w:t>
            </w:r>
          </w:p>
        </w:tc>
        <w:tc>
          <w:tcPr/>
          <w:p>
            <w:pPr>
              <w:pStyle w:val="Compact"/>
              <w:jc w:val="left"/>
            </w:pPr>
            <w:r>
              <w:t xml:space="preserve">DNW-1L-12</w:t>
            </w:r>
          </w:p>
        </w:tc>
        <w:tc>
          <w:tcPr/>
          <w:p>
            <w:pPr>
              <w:pStyle w:val="Compact"/>
              <w:jc w:val="left"/>
            </w:pPr>
            <w:r>
              <w:t xml:space="preserve">20</w:t>
            </w:r>
          </w:p>
        </w:tc>
        <w:tc>
          <w:tcPr/>
          <w:p>
            <w:pPr>
              <w:pStyle w:val="Compact"/>
              <w:jc w:val="left"/>
            </w:pPr>
            <w:r>
              <w:t xml:space="preserve">1,240.00</w:t>
            </w:r>
          </w:p>
        </w:tc>
        <w:tc>
          <w:tcPr/>
          <w:p>
            <w:pPr>
              <w:pStyle w:val="Compact"/>
              <w:jc w:val="left"/>
            </w:pPr>
            <w:r>
              <w:t xml:space="preserve">24,800.00</w:t>
            </w:r>
          </w:p>
        </w:tc>
      </w:tr>
      <w:tr>
        <w:tc>
          <w:tcPr/>
          <w:p>
            <w:pPr>
              <w:pStyle w:val="Compact"/>
              <w:jc w:val="left"/>
            </w:pPr>
            <w:r>
              <w:t xml:space="preserve">6</w:t>
            </w:r>
          </w:p>
        </w:tc>
        <w:tc>
          <w:tcPr/>
          <w:p>
            <w:pPr>
              <w:pStyle w:val="Compact"/>
              <w:jc w:val="left"/>
            </w:pPr>
            <w:r>
              <w:t xml:space="preserve">Nitrile Examination Gloves, Size M (Box of 100)</w:t>
            </w:r>
          </w:p>
        </w:tc>
        <w:tc>
          <w:tcPr/>
          <w:p>
            <w:pPr>
              <w:pStyle w:val="Compact"/>
              <w:jc w:val="left"/>
            </w:pPr>
            <w:r>
              <w:t xml:space="preserve">NG-EX-M-100</w:t>
            </w:r>
          </w:p>
        </w:tc>
        <w:tc>
          <w:tcPr/>
          <w:p>
            <w:pPr>
              <w:pStyle w:val="Compact"/>
              <w:jc w:val="left"/>
            </w:pPr>
            <w:r>
              <w:t xml:space="preserve">50</w:t>
            </w:r>
          </w:p>
        </w:tc>
        <w:tc>
          <w:tcPr/>
          <w:p>
            <w:pPr>
              <w:pStyle w:val="Compact"/>
              <w:jc w:val="left"/>
            </w:pPr>
            <w:r>
              <w:t xml:space="preserve">185.00</w:t>
            </w:r>
          </w:p>
        </w:tc>
        <w:tc>
          <w:tcPr/>
          <w:p>
            <w:pPr>
              <w:pStyle w:val="Compact"/>
              <w:jc w:val="left"/>
            </w:pPr>
            <w:r>
              <w:t xml:space="preserve">9,250.00</w:t>
            </w:r>
          </w:p>
        </w:tc>
      </w:tr>
      <w:tr>
        <w:tc>
          <w:tcPr/>
          <w:p>
            <w:pPr>
              <w:pStyle w:val="Compact"/>
              <w:jc w:val="left"/>
            </w:pPr>
            <w:r>
              <w:t xml:space="preserve">7</w:t>
            </w:r>
          </w:p>
        </w:tc>
        <w:tc>
          <w:tcPr/>
          <w:p>
            <w:pPr>
              <w:pStyle w:val="Compact"/>
              <w:jc w:val="left"/>
            </w:pPr>
            <w:r>
              <w:t xml:space="preserve">96-Well Microplate, Clear, Sterile (Pack of 100)</w:t>
            </w:r>
          </w:p>
        </w:tc>
        <w:tc>
          <w:tcPr/>
          <w:p>
            <w:pPr>
              <w:pStyle w:val="Compact"/>
              <w:jc w:val="left"/>
            </w:pPr>
            <w:r>
              <w:t xml:space="preserve">MP-96W-CLR</w:t>
            </w:r>
          </w:p>
        </w:tc>
        <w:tc>
          <w:tcPr/>
          <w:p>
            <w:pPr>
              <w:pStyle w:val="Compact"/>
              <w:jc w:val="left"/>
            </w:pPr>
            <w:r>
              <w:t xml:space="preserve">30</w:t>
            </w:r>
          </w:p>
        </w:tc>
        <w:tc>
          <w:tcPr/>
          <w:p>
            <w:pPr>
              <w:pStyle w:val="Compact"/>
              <w:jc w:val="left"/>
            </w:pPr>
            <w:r>
              <w:t xml:space="preserve">920.00</w:t>
            </w:r>
          </w:p>
        </w:tc>
        <w:tc>
          <w:tcPr/>
          <w:p>
            <w:pPr>
              <w:pStyle w:val="Compact"/>
              <w:jc w:val="left"/>
            </w:pPr>
            <w:r>
              <w:t xml:space="preserve">27,600.00</w:t>
            </w:r>
          </w:p>
        </w:tc>
      </w:tr>
      <w:tr>
        <w:tc>
          <w:tcPr/>
          <w:p>
            <w:pPr>
              <w:pStyle w:val="Compact"/>
              <w:jc w:val="left"/>
            </w:pPr>
            <w:r>
              <w:t xml:space="preserve">8</w:t>
            </w:r>
          </w:p>
        </w:tc>
        <w:tc>
          <w:tcPr/>
          <w:p>
            <w:pPr>
              <w:pStyle w:val="Compact"/>
              <w:jc w:val="left"/>
            </w:pPr>
            <w:r>
              <w:t xml:space="preserve">Luminometer, Multi-Mode Plate Reader – for bioluminescence assays</w:t>
            </w:r>
          </w:p>
        </w:tc>
        <w:tc>
          <w:tcPr/>
          <w:p>
            <w:pPr>
              <w:pStyle w:val="Compact"/>
              <w:jc w:val="left"/>
            </w:pPr>
            <w:r>
              <w:t xml:space="preserve">LM-PMR-400</w:t>
            </w:r>
          </w:p>
        </w:tc>
        <w:tc>
          <w:tcPr/>
          <w:p>
            <w:pPr>
              <w:pStyle w:val="Compact"/>
              <w:jc w:val="left"/>
            </w:pPr>
            <w:r>
              <w:t xml:space="preserve">1</w:t>
            </w:r>
          </w:p>
        </w:tc>
        <w:tc>
          <w:tcPr/>
          <w:p>
            <w:pPr>
              <w:pStyle w:val="Compact"/>
              <w:jc w:val="left"/>
            </w:pPr>
            <w:r>
              <w:t xml:space="preserve">210,000.00</w:t>
            </w:r>
          </w:p>
        </w:tc>
        <w:tc>
          <w:tcPr/>
          <w:p>
            <w:pPr>
              <w:pStyle w:val="Compact"/>
              <w:jc w:val="left"/>
            </w:pPr>
            <w:r>
              <w:t xml:space="preserve">210,000.00</w:t>
            </w:r>
          </w:p>
        </w:tc>
      </w:tr>
      <w:tr>
        <w:tc>
          <w:tcPr/>
          <w:p>
            <w:pPr>
              <w:pStyle w:val="Compact"/>
              <w:jc w:val="left"/>
            </w:pPr>
            <w:r>
              <w:t xml:space="preserve">9</w:t>
            </w:r>
          </w:p>
        </w:tc>
        <w:tc>
          <w:tcPr/>
          <w:p>
            <w:pPr>
              <w:pStyle w:val="Compact"/>
              <w:jc w:val="left"/>
            </w:pPr>
            <w:r>
              <w:t xml:space="preserve">Refrigerated Centrifuge Tubes, 50 mL (Box of 200)</w:t>
            </w:r>
          </w:p>
        </w:tc>
        <w:tc>
          <w:tcPr/>
          <w:p>
            <w:pPr>
              <w:pStyle w:val="Compact"/>
              <w:jc w:val="left"/>
            </w:pPr>
            <w:r>
              <w:t xml:space="preserve">RC-50ML-200</w:t>
            </w:r>
          </w:p>
        </w:tc>
        <w:tc>
          <w:tcPr/>
          <w:p>
            <w:pPr>
              <w:pStyle w:val="Compact"/>
              <w:jc w:val="left"/>
            </w:pPr>
            <w:r>
              <w:t xml:space="preserve">15</w:t>
            </w:r>
          </w:p>
        </w:tc>
        <w:tc>
          <w:tcPr/>
          <w:p>
            <w:pPr>
              <w:pStyle w:val="Compact"/>
              <w:jc w:val="left"/>
            </w:pPr>
            <w:r>
              <w:t xml:space="preserve">1,150.00</w:t>
            </w:r>
          </w:p>
        </w:tc>
        <w:tc>
          <w:tcPr/>
          <w:p>
            <w:pPr>
              <w:pStyle w:val="Compact"/>
              <w:jc w:val="left"/>
            </w:pPr>
            <w:r>
              <w:t xml:space="preserve">17,250.00</w:t>
            </w:r>
          </w:p>
        </w:tc>
      </w:tr>
      <w:tr>
        <w:tc>
          <w:tcPr/>
          <w:p>
            <w:pPr>
              <w:pStyle w:val="Compact"/>
              <w:jc w:val="left"/>
            </w:pPr>
            <w:r>
              <w:t xml:space="preserve">10</w:t>
            </w:r>
          </w:p>
        </w:tc>
        <w:tc>
          <w:tcPr/>
          <w:p>
            <w:pPr>
              <w:pStyle w:val="Compact"/>
              <w:jc w:val="left"/>
            </w:pPr>
            <w:r>
              <w:t xml:space="preserve">Personal Protective Equipment (PPE) Bundle – lab coats, goggles, face shields (per researcher)</w:t>
            </w:r>
          </w:p>
        </w:tc>
        <w:tc>
          <w:tcPr/>
          <w:p>
            <w:pPr>
              <w:pStyle w:val="Compact"/>
              <w:jc w:val="left"/>
            </w:pPr>
            <w:r>
              <w:t xml:space="preserve">PPE-BND-STD</w:t>
            </w:r>
          </w:p>
        </w:tc>
        <w:tc>
          <w:tcPr/>
          <w:p>
            <w:pPr>
              <w:pStyle w:val="Compact"/>
              <w:jc w:val="left"/>
            </w:pPr>
            <w:r>
              <w:t xml:space="preserve">8</w:t>
            </w:r>
          </w:p>
        </w:tc>
        <w:tc>
          <w:tcPr/>
          <w:p>
            <w:pPr>
              <w:pStyle w:val="Compact"/>
              <w:jc w:val="left"/>
            </w:pPr>
            <w:r>
              <w:t xml:space="preserve">2,340.00</w:t>
            </w:r>
          </w:p>
        </w:tc>
        <w:tc>
          <w:tcPr/>
          <w:p>
            <w:pPr>
              <w:pStyle w:val="Compact"/>
              <w:jc w:val="left"/>
            </w:pPr>
            <w:r>
              <w:t xml:space="preserve">18,720.00</w:t>
            </w:r>
          </w:p>
        </w:tc>
      </w:tr>
    </w:tbl>
    <w:p>
      <w:pPr>
        <w:pStyle w:val="BodyText"/>
      </w:pPr>
      <w:r>
        <w:rPr>
          <w:bCs/>
          <w:b/>
        </w:rPr>
        <w:t xml:space="preserve">Subtotal:</w:t>
      </w:r>
      <w:r>
        <w:t xml:space="preserve"> </w:t>
      </w:r>
      <w:r>
        <w:t xml:space="preserve">R 955,620.00</w:t>
      </w:r>
    </w:p>
    <w:p>
      <w:pPr>
        <w:pStyle w:val="BodyText"/>
      </w:pPr>
      <w:r>
        <w:rPr>
          <w:bCs/>
          <w:b/>
        </w:rPr>
        <w:t xml:space="preserve">VAT (15%):</w:t>
      </w:r>
      <w:r>
        <w:t xml:space="preserve"> </w:t>
      </w:r>
      <w:r>
        <w:t xml:space="preserve">R 143,343.00</w:t>
      </w:r>
    </w:p>
    <w:p>
      <w:pPr>
        <w:pStyle w:val="BodyText"/>
      </w:pPr>
      <w:r>
        <w:rPr>
          <w:bCs/>
          <w:b/>
        </w:rPr>
        <w:t xml:space="preserve">Delivery &amp; Installation (Johannesburg Metro):</w:t>
      </w:r>
      <w:r>
        <w:t xml:space="preserve"> </w:t>
      </w:r>
      <w:r>
        <w:t xml:space="preserve">R 12,500.00</w:t>
      </w:r>
    </w:p>
    <w:p>
      <w:pPr>
        <w:pStyle w:val="BodyText"/>
      </w:pPr>
      <w:r>
        <w:rPr>
          <w:bCs/>
          <w:b/>
        </w:rPr>
        <w:t xml:space="preserve">Grand Total: R 1,111,463.00</w:t>
      </w:r>
    </w:p>
    <w:bookmarkEnd w:id="24"/>
    <w:bookmarkStart w:id="25" w:name="terms-and-conditions"/>
    <w:p>
      <w:pPr>
        <w:pStyle w:val="Heading2"/>
      </w:pPr>
      <w:r>
        <w:t xml:space="preserve">Terms and Conditions</w:t>
      </w:r>
    </w:p>
    <w:p>
      <w:pPr>
        <w:pStyle w:val="FirstParagraph"/>
      </w:pPr>
      <w:r>
        <w:rPr>
          <w:bCs/>
          <w:b/>
        </w:rPr>
        <w:t xml:space="preserve">1. Scope of Purchase:</w:t>
      </w:r>
      <w:r>
        <w:t xml:space="preserve"> </w:t>
      </w:r>
      <w:r>
        <w:t xml:space="preserve">This Purchase Order is issued by the University of Johannesburg Research Institute to procure specialized laboratory equipment, reagents, and consumables required by Dr. Thandiwe Mokoena, Lead Medical Researcher, for the ongoing Phase III clinical trial investigating novel therapeutic interventions for non-communicable diseases. All items listed above are essential to the Medical Researcher's operational capacity within the South Africa Johannesburg research corridor.</w:t>
      </w:r>
    </w:p>
    <w:p>
      <w:pPr>
        <w:pStyle w:val="BodyText"/>
      </w:pPr>
      <w:r>
        <w:rPr>
          <w:bCs/>
          <w:b/>
        </w:rPr>
        <w:t xml:space="preserve">2. Delivery:</w:t>
      </w:r>
      <w:r>
        <w:t xml:space="preserve"> </w:t>
      </w:r>
      <w:r>
        <w:t xml:space="preserve">The supplier shall deliver all goods to the University of Johannesburg Research Institute, 1000 Jan Smuts Avenue, Braamfontein, Johannesburg, South Africa, 2008. Delivery must be completed no later than 08 July 2025. The supplier is responsible for all transportation, insurance, and installation of capital equipment within the designated laboratory suites on campus. A delivery confirmation signed by the receiving Medical Researcher or designated laboratory manager must be obtained upon arrival.</w:t>
      </w:r>
    </w:p>
    <w:p>
      <w:pPr>
        <w:pStyle w:val="BodyText"/>
      </w:pPr>
      <w:r>
        <w:rPr>
          <w:bCs/>
          <w:b/>
        </w:rPr>
        <w:t xml:space="preserve">3. Payment:</w:t>
      </w:r>
      <w:r>
        <w:t xml:space="preserve"> </w:t>
      </w:r>
      <w:r>
        <w:t xml:space="preserve">Payment shall be made within thirty (30) calendar days of receipt of a valid tax invoice and confirmed delivery. Payment will be processed via electronic funds transfer (EFT) to the supplier's registered bank account in South Africa. The total amount due under this Purchase Order is Rand One Million One Hundred and Eleven Thousand Four Hundred and Sixty-Three (R 1,111,463.00), inclusive of VAT at 15% and delivery charges.</w:t>
      </w:r>
    </w:p>
    <w:p>
      <w:pPr>
        <w:pStyle w:val="BodyText"/>
      </w:pPr>
      <w:r>
        <w:rPr>
          <w:bCs/>
          <w:b/>
        </w:rPr>
        <w:t xml:space="preserve">4. Quality Assurance:</w:t>
      </w:r>
      <w:r>
        <w:t xml:space="preserve"> </w:t>
      </w:r>
      <w:r>
        <w:t xml:space="preserve">All equipment must comply with South African National Standards (SANS) and be certified by the South African Health Products Regulatory Authority (SAHPRA) where applicable. The Medical Researcher reserves the right to inspect and test all delivered items within fourteen (14) days of delivery. Any item found to be defective, substandard, or not conforming to the specifications outlined in this Purchase Order shall be replaced at the supplier's sole cost within ten (10) business days.</w:t>
      </w:r>
    </w:p>
    <w:p>
      <w:pPr>
        <w:pStyle w:val="BodyText"/>
      </w:pPr>
      <w:r>
        <w:rPr>
          <w:bCs/>
          <w:b/>
        </w:rPr>
        <w:t xml:space="preserve">5. Warranty:</w:t>
      </w:r>
      <w:r>
        <w:t xml:space="preserve"> </w:t>
      </w:r>
      <w:r>
        <w:t xml:space="preserve">Capital equipment (items 1, 2, 3, and 8) shall carry a minimum manufacturer's warranty of twenty-four (24) months from the date of installation. Consumable items (items 4 through 10) must have a minimum shelf life of twelve (12) months from the date of delivery. The supplier shall provide all warranty documentation, user manuals, and calibration certificates in English and, where available, in isiZulu or Afrikaans.</w:t>
      </w:r>
    </w:p>
    <w:p>
      <w:pPr>
        <w:pStyle w:val="BodyText"/>
      </w:pPr>
      <w:r>
        <w:rPr>
          <w:bCs/>
          <w:b/>
        </w:rPr>
        <w:t xml:space="preserve">6. Compliance and Ethics:</w:t>
      </w:r>
      <w:r>
        <w:t xml:space="preserve"> </w:t>
      </w:r>
      <w:r>
        <w:t xml:space="preserve">This Purchase Order is governed by the Public Finance and Management Act (PFMA) of South Africa and the University of Johannesburg's procurement policy. All transactions must comply with the Competition and Consumer Protection Act. The Medical Researcher and the institution confirm that the procurement of these items is for legitimate scientific research purposes and does not violate any ethical guidelines set forth by the South African Medical Research Council (SAMRC).</w:t>
      </w:r>
    </w:p>
    <w:p>
      <w:pPr>
        <w:pStyle w:val="BodyText"/>
      </w:pPr>
      <w:r>
        <w:rPr>
          <w:bCs/>
          <w:b/>
        </w:rPr>
        <w:t xml:space="preserve">7. Cancellation and Amendment:</w:t>
      </w:r>
      <w:r>
        <w:t xml:space="preserve"> </w:t>
      </w:r>
      <w:r>
        <w:t xml:space="preserve">This Purchase Order may be amended or cancelled in writing by either party. Cancellation after the supplier has commenced manufacturing or procurement of custom items may incur a penalty of up to 25% of the affected line item value. All amendments must be countersigned by both the Medical Researcher (or authorized delegate) and the supplier's authorized representative.</w:t>
      </w:r>
    </w:p>
    <w:p>
      <w:pPr>
        <w:pStyle w:val="BodyText"/>
      </w:pPr>
      <w:r>
        <w:rPr>
          <w:bCs/>
          <w:b/>
        </w:rPr>
        <w:t xml:space="preserve">8. Governing Law:</w:t>
      </w:r>
      <w:r>
        <w:t xml:space="preserve"> </w:t>
      </w:r>
      <w:r>
        <w:t xml:space="preserve">This Purchase Order shall be governed by and construed in accordance with the laws of the Republic of South Africa. Any disputes arising from this Purchase Order shall be subject to the exclusive jurisdiction of the High Court of South Africa, Johannesburg Division.</w:t>
      </w:r>
    </w:p>
    <w:bookmarkEnd w:id="25"/>
    <w:bookmarkStart w:id="26" w:name="authorized-signatures"/>
    <w:p>
      <w:pPr>
        <w:pStyle w:val="Heading2"/>
      </w:pPr>
      <w:r>
        <w:t xml:space="preserve">Authorized Signatures</w:t>
      </w:r>
    </w:p>
    <w:p>
      <w:pPr>
        <w:pStyle w:val="FirstParagraph"/>
      </w:pPr>
      <w:r>
        <w:rPr>
          <w:bCs/>
          <w:b/>
        </w:rPr>
        <w:t xml:space="preserve">Dr. Thandiwe Mokoena</w:t>
      </w:r>
      <w:r>
        <w:br/>
      </w:r>
      <w:r>
        <w:t xml:space="preserve">Lead Medical Researcher</w:t>
      </w:r>
      <w:r>
        <w:br/>
      </w:r>
      <w:r>
        <w:t xml:space="preserve">University of Johannesburg Research Institute</w:t>
      </w:r>
      <w:r>
        <w:br/>
      </w:r>
      <w:r>
        <w:t xml:space="preserve">Date: _______________</w:t>
      </w:r>
    </w:p>
    <w:p>
      <w:pPr>
        <w:pStyle w:val="BodyText"/>
      </w:pPr>
      <w:r>
        <w:rPr>
          <w:bCs/>
          <w:b/>
        </w:rPr>
        <w:t xml:space="preserve">Prof. James van der Merwe</w:t>
      </w:r>
      <w:r>
        <w:br/>
      </w:r>
      <w:r>
        <w:t xml:space="preserve">Head of Department, Biomedical Sciences</w:t>
      </w:r>
      <w:r>
        <w:br/>
      </w:r>
      <w:r>
        <w:t xml:space="preserve">University of Johannesburg</w:t>
      </w:r>
      <w:r>
        <w:br/>
      </w:r>
      <w:r>
        <w:t xml:space="preserve">Date: _______________</w:t>
      </w:r>
    </w:p>
    <w:p>
      <w:pPr>
        <w:pStyle w:val="BodyText"/>
      </w:pPr>
      <w:r>
        <w:rPr>
          <w:bCs/>
          <w:b/>
        </w:rPr>
        <w:t xml:space="preserve">Mr. Pieter Botha</w:t>
      </w:r>
      <w:r>
        <w:br/>
      </w:r>
      <w:r>
        <w:t xml:space="preserve">Authorized Representative</w:t>
      </w:r>
      <w:r>
        <w:br/>
      </w:r>
      <w:r>
        <w:t xml:space="preserve">MedLab Supplies (Pty) Ltd</w:t>
      </w:r>
      <w:r>
        <w:br/>
      </w:r>
      <w:r>
        <w:t xml:space="preserve">Date: _______________</w:t>
      </w:r>
    </w:p>
    <w:p>
      <w:pPr>
        <w:pStyle w:val="BodyText"/>
      </w:pPr>
      <w:r>
        <w:t xml:space="preserve">This Purchase Order (PO-JHB-2025-04871) is a controlled document of the University of Johannesburg Research Institute, South Africa Johannesburg. Unauthorized reproduction or distribution is prohibited. For queries, contact the Procurement Office at procurement@ujri.ac.za or +27 (0)11 559 1000. This document is valid for 60 days from the date of issue.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Medical Researcher - South Africa Johannesburg</dc:title>
  <dc:creator/>
  <dc:language>en</dc:language>
  <cp:keywords/>
  <dcterms:created xsi:type="dcterms:W3CDTF">2026-10-10T02:46:17Z</dcterms:created>
  <dcterms:modified xsi:type="dcterms:W3CDTF">2026-10-10T02:46:17Z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