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Medical Research Laboratory Procurement — United Arab Emirates Abu Dhabi</w:t>
      </w:r>
    </w:p>
    <w:p>
      <w:pPr>
        <w:pStyle w:val="BodyText"/>
      </w:pPr>
      <w:r>
        <w:t xml:space="preserve">Document Reference: PO-ADH-2025-04782</w:t>
      </w:r>
    </w:p>
    <w:bookmarkEnd w:id="20"/>
    <w:p>
      <w:pPr>
        <w:pStyle w:val="BodyText"/>
      </w:pPr>
      <w:r>
        <w:rPr>
          <w:bCs/>
          <w:b/>
        </w:rPr>
        <w:t xml:space="preserve">Purchase Order No.:</w:t>
      </w:r>
      <w:r>
        <w:t xml:space="preserve"> </w:t>
      </w:r>
      <w:r>
        <w:t xml:space="preserve">PO-ADH-2025-04782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Delivery Deadline:</w:t>
      </w:r>
      <w:r>
        <w:t xml:space="preserve"> </w:t>
      </w:r>
      <w:r>
        <w:t xml:space="preserve">30 July 2025</w:t>
      </w:r>
    </w:p>
    <w:bookmarkStart w:id="21" w:name="buyer-purchasing-entity"/>
    <w:p>
      <w:pPr>
        <w:pStyle w:val="Heading3"/>
      </w:pPr>
      <w:r>
        <w:t xml:space="preserve">Buyer (Purchasing Entity)</w:t>
      </w:r>
    </w:p>
    <w:p>
      <w:pPr>
        <w:pStyle w:val="FirstParagraph"/>
      </w:pPr>
      <w:r>
        <w:rPr>
          <w:bCs/>
          <w:b/>
        </w:rPr>
        <w:t xml:space="preserve">Abu Dhabi Advanced Medical Research Institute (ADAMRI)</w:t>
      </w:r>
      <w:r>
        <w:br/>
      </w:r>
      <w:r>
        <w:t xml:space="preserve">Building 7, Khalifa Medical City</w:t>
      </w:r>
      <w:r>
        <w:br/>
      </w:r>
      <w:r>
        <w:t xml:space="preserve">Al Reem Island, Abu Dhabi</w:t>
      </w:r>
      <w:r>
        <w:br/>
      </w:r>
      <w:r>
        <w:t xml:space="preserve">United Arab Emirates</w:t>
      </w:r>
      <w:r>
        <w:br/>
      </w:r>
      <w:r>
        <w:t xml:space="preserve">P.O. Box 12345, Abu Dhabi, UAE</w:t>
      </w:r>
      <w:r>
        <w:br/>
      </w:r>
      <w:r>
        <w:t xml:space="preserve">Tel: +971-2-555-0198</w:t>
      </w:r>
      <w:r>
        <w:br/>
      </w:r>
      <w:r>
        <w:t xml:space="preserve">Email: procurement@adamri.ae</w:t>
      </w:r>
      <w:r>
        <w:br/>
      </w:r>
      <w:r>
        <w:t xml:space="preserve">TRN: 100234567800003</w:t>
      </w:r>
      <w:r>
        <w:br/>
      </w:r>
      <w:r>
        <w:t xml:space="preserve">Authorized Signatory: Dr. Fatima Al Mansouri, Chief of Research Operations</w:t>
      </w:r>
    </w:p>
    <w:bookmarkEnd w:id="21"/>
    <w:bookmarkStart w:id="22" w:name="supplier-vendor"/>
    <w:p>
      <w:pPr>
        <w:pStyle w:val="Heading3"/>
      </w:pPr>
      <w:r>
        <w:t xml:space="preserve">Supplier (Vendor)</w:t>
      </w:r>
    </w:p>
    <w:p>
      <w:pPr>
        <w:pStyle w:val="FirstParagraph"/>
      </w:pPr>
      <w:r>
        <w:rPr>
          <w:bCs/>
          <w:b/>
        </w:rPr>
        <w:t xml:space="preserve">Global Scientific Instruments FZE</w:t>
      </w:r>
      <w:r>
        <w:br/>
      </w:r>
      <w:r>
        <w:t xml:space="preserve">Unit 42, Dubai Multi Commodities Centre (DMCC)</w:t>
      </w:r>
      <w:r>
        <w:br/>
      </w:r>
      <w:r>
        <w:t xml:space="preserve">Dubai, United Arab Emirates</w:t>
      </w:r>
      <w:r>
        <w:br/>
      </w:r>
      <w:r>
        <w:t xml:space="preserve">P.O. Box 9876, Dubai, UAE</w:t>
      </w:r>
      <w:r>
        <w:br/>
      </w:r>
      <w:r>
        <w:t xml:space="preserve">Tel: +971-4-555-0321</w:t>
      </w:r>
      <w:r>
        <w:br/>
      </w:r>
      <w:r>
        <w:t xml:space="preserve">Email: sales@globalscientific.ae</w:t>
      </w:r>
      <w:r>
        <w:br/>
      </w:r>
      <w:r>
        <w:t xml:space="preserve">TRN: 100987654300003</w:t>
      </w:r>
      <w:r>
        <w:br/>
      </w:r>
      <w:r>
        <w:t xml:space="preserve">Contact Person: Mr. James Whitfield, Regional Sales Director</w:t>
      </w:r>
    </w:p>
    <w:bookmarkEnd w:id="22"/>
    <w:p>
      <w:pPr>
        <w:pStyle w:val="BodyText"/>
      </w:pPr>
      <w:r>
        <w:t xml:space="preserve">Line Items — Medical Researcher Equipment and Consumables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High-Performance Liquid Chromatography (HPLC) System, Model LC-9000, for pharmaceutical and biomedical analysis by the Medical Researcher team</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30 Jul 2025</w:t>
            </w:r>
          </w:p>
        </w:tc>
      </w:tr>
      <w:tr>
        <w:tc>
          <w:tcPr/>
          <w:p>
            <w:pPr>
              <w:pStyle w:val="Compact"/>
              <w:jc w:val="left"/>
            </w:pPr>
            <w:r>
              <w:t xml:space="preserve">2</w:t>
            </w:r>
          </w:p>
        </w:tc>
        <w:tc>
          <w:tcPr/>
          <w:p>
            <w:pPr>
              <w:pStyle w:val="Compact"/>
              <w:jc w:val="left"/>
            </w:pPr>
            <w:r>
              <w:t xml:space="preserve">Real-Time PCR Thermal Cycler, 96-well, with UV transilluminator, for molecular biology research conducted by the Medical Researcher group</w:t>
            </w:r>
          </w:p>
        </w:tc>
        <w:tc>
          <w:tcPr/>
          <w:p>
            <w:pPr>
              <w:pStyle w:val="Compact"/>
              <w:jc w:val="left"/>
            </w:pPr>
            <w:r>
              <w:t xml:space="preserve">2</w:t>
            </w:r>
          </w:p>
        </w:tc>
        <w:tc>
          <w:tcPr/>
          <w:p>
            <w:pPr>
              <w:pStyle w:val="Compact"/>
              <w:jc w:val="left"/>
            </w:pPr>
            <w:r>
              <w:t xml:space="preserve">Unit</w:t>
            </w:r>
          </w:p>
        </w:tc>
        <w:tc>
          <w:tcPr/>
          <w:p>
            <w:pPr>
              <w:pStyle w:val="Compact"/>
              <w:jc w:val="left"/>
            </w:pPr>
            <w:r>
              <w:t xml:space="preserve">42,500.00</w:t>
            </w:r>
          </w:p>
        </w:tc>
        <w:tc>
          <w:tcPr/>
          <w:p>
            <w:pPr>
              <w:pStyle w:val="Compact"/>
              <w:jc w:val="left"/>
            </w:pPr>
            <w:r>
              <w:t xml:space="preserve">85,000.00</w:t>
            </w:r>
          </w:p>
        </w:tc>
        <w:tc>
          <w:tcPr/>
          <w:p>
            <w:pPr>
              <w:pStyle w:val="Compact"/>
              <w:jc w:val="left"/>
            </w:pPr>
            <w:r>
              <w:t xml:space="preserve">30 Jul 2025</w:t>
            </w:r>
          </w:p>
        </w:tc>
      </w:tr>
      <w:tr>
        <w:tc>
          <w:tcPr/>
          <w:p>
            <w:pPr>
              <w:pStyle w:val="Compact"/>
              <w:jc w:val="left"/>
            </w:pPr>
            <w:r>
              <w:t xml:space="preserve">3</w:t>
            </w:r>
          </w:p>
        </w:tc>
        <w:tc>
          <w:tcPr/>
          <w:p>
            <w:pPr>
              <w:pStyle w:val="Compact"/>
              <w:jc w:val="left"/>
            </w:pPr>
            <w:r>
              <w:t xml:space="preserve">Class II Biological Safety Cabinet (BSC), 1.5 m width, HEPA-filtered, for in-vitro cell culture work by the Medical Researcher</w:t>
            </w:r>
          </w:p>
        </w:tc>
        <w:tc>
          <w:tcPr/>
          <w:p>
            <w:pPr>
              <w:pStyle w:val="Compact"/>
              <w:jc w:val="left"/>
            </w:pPr>
            <w:r>
              <w:t xml:space="preserve">3</w:t>
            </w:r>
          </w:p>
        </w:tc>
        <w:tc>
          <w:tcPr/>
          <w:p>
            <w:pPr>
              <w:pStyle w:val="Compact"/>
              <w:jc w:val="left"/>
            </w:pPr>
            <w:r>
              <w:t xml:space="preserve">Unit</w:t>
            </w:r>
          </w:p>
        </w:tc>
        <w:tc>
          <w:tcPr/>
          <w:p>
            <w:pPr>
              <w:pStyle w:val="Compact"/>
              <w:jc w:val="left"/>
            </w:pPr>
            <w:r>
              <w:t xml:space="preserve">28,750.00</w:t>
            </w:r>
          </w:p>
        </w:tc>
        <w:tc>
          <w:tcPr/>
          <w:p>
            <w:pPr>
              <w:pStyle w:val="Compact"/>
              <w:jc w:val="left"/>
            </w:pPr>
            <w:r>
              <w:t xml:space="preserve">86,250.00</w:t>
            </w:r>
          </w:p>
        </w:tc>
        <w:tc>
          <w:tcPr/>
          <w:p>
            <w:pPr>
              <w:pStyle w:val="Compact"/>
              <w:jc w:val="left"/>
            </w:pPr>
            <w:r>
              <w:t xml:space="preserve">30 Jul 2025</w:t>
            </w:r>
          </w:p>
        </w:tc>
      </w:tr>
      <w:tr>
        <w:tc>
          <w:tcPr/>
          <w:p>
            <w:pPr>
              <w:pStyle w:val="Compact"/>
              <w:jc w:val="left"/>
            </w:pPr>
            <w:r>
              <w:t xml:space="preserve">4</w:t>
            </w:r>
          </w:p>
        </w:tc>
        <w:tc>
          <w:tcPr/>
          <w:p>
            <w:pPr>
              <w:pStyle w:val="Compact"/>
              <w:jc w:val="left"/>
            </w:pPr>
            <w:r>
              <w:t xml:space="preserve">Refrigerated Centrifuge, 15,000 RPM, 4 x 50 mL rotor, for sample preparation in the Medical Researcher laboratory</w:t>
            </w:r>
          </w:p>
        </w:tc>
        <w:tc>
          <w:tcPr/>
          <w:p>
            <w:pPr>
              <w:pStyle w:val="Compact"/>
              <w:jc w:val="left"/>
            </w:pPr>
            <w:r>
              <w:t xml:space="preserve">4</w:t>
            </w:r>
          </w:p>
        </w:tc>
        <w:tc>
          <w:tcPr/>
          <w:p>
            <w:pPr>
              <w:pStyle w:val="Compact"/>
              <w:jc w:val="left"/>
            </w:pPr>
            <w:r>
              <w:t xml:space="preserve">Unit</w:t>
            </w:r>
          </w:p>
        </w:tc>
        <w:tc>
          <w:tcPr/>
          <w:p>
            <w:pPr>
              <w:pStyle w:val="Compact"/>
              <w:jc w:val="left"/>
            </w:pPr>
            <w:r>
              <w:t xml:space="preserve">12,300.00</w:t>
            </w:r>
          </w:p>
        </w:tc>
        <w:tc>
          <w:tcPr/>
          <w:p>
            <w:pPr>
              <w:pStyle w:val="Compact"/>
              <w:jc w:val="left"/>
            </w:pPr>
            <w:r>
              <w:t xml:space="preserve">49,200.00</w:t>
            </w:r>
          </w:p>
        </w:tc>
        <w:tc>
          <w:tcPr/>
          <w:p>
            <w:pPr>
              <w:pStyle w:val="Compact"/>
              <w:jc w:val="left"/>
            </w:pPr>
            <w:r>
              <w:t xml:space="preserve">30 Jul 2025</w:t>
            </w:r>
          </w:p>
        </w:tc>
      </w:tr>
      <w:tr>
        <w:tc>
          <w:tcPr/>
          <w:p>
            <w:pPr>
              <w:pStyle w:val="Compact"/>
              <w:jc w:val="left"/>
            </w:pPr>
            <w:r>
              <w:t xml:space="preserve">5</w:t>
            </w:r>
          </w:p>
        </w:tc>
        <w:tc>
          <w:tcPr/>
          <w:p>
            <w:pPr>
              <w:pStyle w:val="Compact"/>
              <w:jc w:val="left"/>
            </w:pPr>
            <w:r>
              <w:t xml:space="preserve">Assorted Molecular Biology Reagents Kit (DNA extraction, PCR master mix, restriction enzymes), 12-month supply for the Medical Researcher</w:t>
            </w:r>
          </w:p>
        </w:tc>
        <w:tc>
          <w:tcPr/>
          <w:p>
            <w:pPr>
              <w:pStyle w:val="Compact"/>
              <w:jc w:val="left"/>
            </w:pPr>
            <w:r>
              <w:t xml:space="preserve">10</w:t>
            </w:r>
          </w:p>
        </w:tc>
        <w:tc>
          <w:tcPr/>
          <w:p>
            <w:pPr>
              <w:pStyle w:val="Compact"/>
              <w:jc w:val="left"/>
            </w:pPr>
            <w:r>
              <w:t xml:space="preserve">Kit</w:t>
            </w:r>
          </w:p>
        </w:tc>
        <w:tc>
          <w:tcPr/>
          <w:p>
            <w:pPr>
              <w:pStyle w:val="Compact"/>
              <w:jc w:val="left"/>
            </w:pPr>
            <w:r>
              <w:t xml:space="preserve">3,850.00</w:t>
            </w:r>
          </w:p>
        </w:tc>
        <w:tc>
          <w:tcPr/>
          <w:p>
            <w:pPr>
              <w:pStyle w:val="Compact"/>
              <w:jc w:val="left"/>
            </w:pPr>
            <w:r>
              <w:t xml:space="preserve">38,500.00</w:t>
            </w:r>
          </w:p>
        </w:tc>
        <w:tc>
          <w:tcPr/>
          <w:p>
            <w:pPr>
              <w:pStyle w:val="Compact"/>
              <w:jc w:val="left"/>
            </w:pPr>
            <w:r>
              <w:t xml:space="preserve">30 Jul 2025</w:t>
            </w:r>
          </w:p>
        </w:tc>
      </w:tr>
      <w:tr>
        <w:tc>
          <w:tcPr/>
          <w:p>
            <w:pPr>
              <w:pStyle w:val="Compact"/>
              <w:jc w:val="left"/>
            </w:pPr>
            <w:r>
              <w:t xml:space="preserve">6</w:t>
            </w:r>
          </w:p>
        </w:tc>
        <w:tc>
          <w:tcPr/>
          <w:p>
            <w:pPr>
              <w:pStyle w:val="Compact"/>
              <w:jc w:val="left"/>
            </w:pPr>
            <w:r>
              <w:t xml:space="preserve">Disposable Nitrile Gloves, Size M, 100 per box, for daily use by the Medical Researcher and lab technicians</w:t>
            </w:r>
          </w:p>
        </w:tc>
        <w:tc>
          <w:tcPr/>
          <w:p>
            <w:pPr>
              <w:pStyle w:val="Compact"/>
              <w:jc w:val="left"/>
            </w:pPr>
            <w:r>
              <w:t xml:space="preserve">200</w:t>
            </w:r>
          </w:p>
        </w:tc>
        <w:tc>
          <w:tcPr/>
          <w:p>
            <w:pPr>
              <w:pStyle w:val="Compact"/>
              <w:jc w:val="left"/>
            </w:pPr>
            <w:r>
              <w:t xml:space="preserve">Box</w:t>
            </w:r>
          </w:p>
        </w:tc>
        <w:tc>
          <w:tcPr/>
          <w:p>
            <w:pPr>
              <w:pStyle w:val="Compact"/>
              <w:jc w:val="left"/>
            </w:pPr>
            <w:r>
              <w:t xml:space="preserve">45.00</w:t>
            </w:r>
          </w:p>
        </w:tc>
        <w:tc>
          <w:tcPr/>
          <w:p>
            <w:pPr>
              <w:pStyle w:val="Compact"/>
              <w:jc w:val="left"/>
            </w:pPr>
            <w:r>
              <w:t xml:space="preserve">9,000.00</w:t>
            </w:r>
          </w:p>
        </w:tc>
        <w:tc>
          <w:tcPr/>
          <w:p>
            <w:pPr>
              <w:pStyle w:val="Compact"/>
              <w:jc w:val="left"/>
            </w:pPr>
            <w:r>
              <w:t xml:space="preserve">30 Jul 2025</w:t>
            </w:r>
          </w:p>
        </w:tc>
      </w:tr>
      <w:tr>
        <w:tc>
          <w:tcPr/>
          <w:p>
            <w:pPr>
              <w:pStyle w:val="Compact"/>
              <w:jc w:val="left"/>
            </w:pPr>
            <w:r>
              <w:t xml:space="preserve">7</w:t>
            </w:r>
          </w:p>
        </w:tc>
        <w:tc>
          <w:tcPr/>
          <w:p>
            <w:pPr>
              <w:pStyle w:val="Compact"/>
              <w:jc w:val="left"/>
            </w:pPr>
            <w:r>
              <w:t xml:space="preserve">Autoclave, 120 L capacity, with digital controller, for sterilization of instruments used by the Medical Researcher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34,000.00</w:t>
            </w:r>
          </w:p>
        </w:tc>
        <w:tc>
          <w:tcPr/>
          <w:p>
            <w:pPr>
              <w:pStyle w:val="Compact"/>
              <w:jc w:val="left"/>
            </w:pPr>
            <w:r>
              <w:t xml:space="preserve">34,000.00</w:t>
            </w:r>
          </w:p>
        </w:tc>
        <w:tc>
          <w:tcPr/>
          <w:p>
            <w:pPr>
              <w:pStyle w:val="Compact"/>
              <w:jc w:val="left"/>
            </w:pPr>
            <w:r>
              <w:t xml:space="preserve">30 Jul 2025</w:t>
            </w:r>
          </w:p>
        </w:tc>
      </w:tr>
      <w:tr>
        <w:tc>
          <w:tcPr/>
          <w:p>
            <w:pPr>
              <w:pStyle w:val="Compact"/>
              <w:jc w:val="left"/>
            </w:pPr>
            <w:r>
              <w:t xml:space="preserve">8</w:t>
            </w:r>
          </w:p>
        </w:tc>
        <w:tc>
          <w:tcPr/>
          <w:p>
            <w:pPr>
              <w:pStyle w:val="Compact"/>
              <w:jc w:val="left"/>
            </w:pPr>
            <w:r>
              <w:t xml:space="preserve">Electron Microscope, Transmission (TEM), 120 kV, for ultrastructural imaging in the Medical Researcher project</w:t>
            </w:r>
          </w:p>
        </w:tc>
        <w:tc>
          <w:tcPr/>
          <w:p>
            <w:pPr>
              <w:pStyle w:val="Compact"/>
              <w:jc w:val="left"/>
            </w:pPr>
            <w:r>
              <w:t xml:space="preserve">1</w:t>
            </w:r>
          </w:p>
        </w:tc>
        <w:tc>
          <w:tcPr/>
          <w:p>
            <w:pPr>
              <w:pStyle w:val="Compact"/>
              <w:jc w:val="left"/>
            </w:pPr>
            <w:r>
              <w:t xml:space="preserve">Unit</w:t>
            </w:r>
          </w:p>
        </w:tc>
        <w:tc>
          <w:tcPr/>
          <w:p>
            <w:pPr>
              <w:pStyle w:val="Compact"/>
              <w:jc w:val="left"/>
            </w:pPr>
            <w:r>
              <w:t xml:space="preserve">420,000.00</w:t>
            </w:r>
          </w:p>
        </w:tc>
        <w:tc>
          <w:tcPr/>
          <w:p>
            <w:pPr>
              <w:pStyle w:val="Compact"/>
              <w:jc w:val="left"/>
            </w:pPr>
            <w:r>
              <w:t xml:space="preserve">420,000.00</w:t>
            </w:r>
          </w:p>
        </w:tc>
        <w:tc>
          <w:tcPr/>
          <w:p>
            <w:pPr>
              <w:pStyle w:val="Compact"/>
              <w:jc w:val="left"/>
            </w:pPr>
            <w:r>
              <w:t xml:space="preserve">30 Jul 2025</w:t>
            </w:r>
          </w:p>
        </w:tc>
      </w:tr>
      <w:tr>
        <w:tc>
          <w:tcPr>
            <w:gridSpan w:val="5"/>
          </w:tcPr>
          <w:p>
            <w:pPr>
              <w:pStyle w:val="Compact"/>
              <w:jc w:val="right"/>
            </w:pPr>
            <w:r>
              <w:t xml:space="preserve">Subtotal:</w:t>
            </w:r>
          </w:p>
        </w:tc>
        <w:tc>
          <w:tcPr/>
          <w:p>
            <w:pPr>
              <w:pStyle w:val="Compact"/>
              <w:jc w:val="left"/>
            </w:pPr>
            <w:r>
              <w:t xml:space="preserve">906,950.00</w:t>
            </w:r>
          </w:p>
        </w:tc>
        <w:tc>
          <w:tcPr/>
          <w:p>
            <w:pPr>
              <w:pStyle w:val="Compact"/>
            </w:pPr>
          </w:p>
        </w:tc>
      </w:tr>
      <w:tr>
        <w:tc>
          <w:tcPr>
            <w:gridSpan w:val="5"/>
          </w:tcPr>
          <w:p>
            <w:pPr>
              <w:pStyle w:val="Compact"/>
              <w:jc w:val="right"/>
            </w:pPr>
            <w:r>
              <w:t xml:space="preserve">VAT (5% — United Arab Emirates):</w:t>
            </w:r>
          </w:p>
        </w:tc>
        <w:tc>
          <w:tcPr/>
          <w:p>
            <w:pPr>
              <w:pStyle w:val="Compact"/>
              <w:jc w:val="left"/>
            </w:pPr>
            <w:r>
              <w:t xml:space="preserve">45,347.50</w:t>
            </w:r>
          </w:p>
        </w:tc>
        <w:tc>
          <w:tcPr/>
          <w:p>
            <w:pPr>
              <w:pStyle w:val="Compact"/>
            </w:pPr>
          </w:p>
        </w:tc>
      </w:tr>
      <w:tr>
        <w:tc>
          <w:tcPr>
            <w:gridSpan w:val="5"/>
          </w:tcPr>
          <w:p>
            <w:pPr>
              <w:pStyle w:val="Compact"/>
              <w:jc w:val="right"/>
            </w:pPr>
            <w:r>
              <w:t xml:space="preserve">Grand Total (AED):</w:t>
            </w:r>
          </w:p>
        </w:tc>
        <w:tc>
          <w:tcPr/>
          <w:p>
            <w:pPr>
              <w:pStyle w:val="Compact"/>
              <w:jc w:val="left"/>
            </w:pPr>
            <w:r>
              <w:t xml:space="preserve">952,297.50</w:t>
            </w:r>
          </w:p>
        </w:tc>
        <w:tc>
          <w:tcPr/>
          <w:p>
            <w:pPr>
              <w:pStyle w:val="Compact"/>
            </w:pPr>
          </w:p>
        </w:tc>
      </w:tr>
    </w:tbl>
    <w:p>
      <w:pPr>
        <w:pStyle w:val="BodyText"/>
      </w:pPr>
      <w:r>
        <w:t xml:space="preserve">Terms and Conditions</w:t>
      </w:r>
    </w:p>
    <w:p>
      <w:pPr>
        <w:numPr>
          <w:ilvl w:val="0"/>
          <w:numId w:val="1001"/>
        </w:numPr>
        <w:pStyle w:val="Compact"/>
      </w:pPr>
      <w:r>
        <w:rPr>
          <w:bCs/>
          <w:b/>
        </w:rPr>
        <w:t xml:space="preserve">Payment Terms:</w:t>
      </w:r>
      <w:r>
        <w:t xml:space="preserve"> </w:t>
      </w:r>
      <w:r>
        <w:t xml:space="preserve">30% advance payment upon acceptance of this Purchase Order; 60% upon delivery and installation at the Abu Dhabi facility; 10% upon successful commissioning and acceptance by the Medical Researcher team. All payments shall be made in United Arab Emirates Dirhams (AED) via bank transfer to the supplier's designated account.</w:t>
      </w:r>
    </w:p>
    <w:p>
      <w:pPr>
        <w:numPr>
          <w:ilvl w:val="0"/>
          <w:numId w:val="1001"/>
        </w:numPr>
        <w:pStyle w:val="Compact"/>
      </w:pPr>
      <w:r>
        <w:rPr>
          <w:bCs/>
          <w:b/>
        </w:rPr>
        <w:t xml:space="preserve">Delivery:</w:t>
      </w:r>
      <w:r>
        <w:t xml:space="preserve"> </w:t>
      </w:r>
      <w:r>
        <w:t xml:space="preserve">All items listed in this Purchase Order shall be delivered to the Abu Dhabi Advanced Medical Research Institute, Khalifa Medical City, Al Reem Island, Abu Dhabi, United Arab Emirates. The supplier is responsible for all shipping, customs clearance, and local logistics within the United Arab Emirates Abu Dhabi jurisdiction.</w:t>
      </w:r>
    </w:p>
    <w:p>
      <w:pPr>
        <w:numPr>
          <w:ilvl w:val="0"/>
          <w:numId w:val="1001"/>
        </w:numPr>
        <w:pStyle w:val="Compact"/>
      </w:pPr>
      <w:r>
        <w:rPr>
          <w:bCs/>
          <w:b/>
        </w:rPr>
        <w:t xml:space="preserve">Warranty:</w:t>
      </w:r>
      <w:r>
        <w:t xml:space="preserve"> </w:t>
      </w:r>
      <w:r>
        <w:t xml:space="preserve">The supplier shall provide a minimum 24-month warranty on all capital equipment. Consumables and reagents are warranted to be free from defects at the time of delivery. The Medical Researcher team shall conduct a 14-day acceptance testing period prior to final sign-off.</w:t>
      </w:r>
    </w:p>
    <w:p>
      <w:pPr>
        <w:numPr>
          <w:ilvl w:val="0"/>
          <w:numId w:val="1001"/>
        </w:numPr>
        <w:pStyle w:val="Compact"/>
      </w:pPr>
      <w:r>
        <w:rPr>
          <w:bCs/>
          <w:b/>
        </w:rPr>
        <w:t xml:space="preserve">Regulatory Compliance:</w:t>
      </w:r>
      <w:r>
        <w:t xml:space="preserve"> </w:t>
      </w:r>
      <w:r>
        <w:t xml:space="preserve">All equipment and reagents must comply with the regulations set forth by the Department of Health — Abu Dhabi (DoH-AD) and the Abu Dhabi Health Services Company (SEHA) standards. The supplier shall provide all necessary certificates of conformity, MSDS sheets, and import permits required for the United Arab Emirates Abu Dhabi market.</w:t>
      </w:r>
    </w:p>
    <w:p>
      <w:pPr>
        <w:numPr>
          <w:ilvl w:val="0"/>
          <w:numId w:val="1001"/>
        </w:numPr>
        <w:pStyle w:val="Compact"/>
      </w:pPr>
      <w:r>
        <w:rPr>
          <w:bCs/>
          <w:b/>
        </w:rPr>
        <w:t xml:space="preserve">Intellectual Property:</w:t>
      </w:r>
      <w:r>
        <w:t xml:space="preserve"> </w:t>
      </w:r>
      <w:r>
        <w:t xml:space="preserve">This Purchase Order does not transfer any intellectual property rights. All proprietary software bundled with equipment remains the property of the manufacturer. The Medical Researcher at ADAMRI is granted a perpetual, non-transferable license for institutional use.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sanctions, or disruptions to trade routes affecting the United Arab Emirates Abu Dhabi region.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with jurisdiction vested in the courts of Abu Dhabi.</w:t>
      </w:r>
    </w:p>
    <w:p>
      <w:pPr>
        <w:numPr>
          <w:ilvl w:val="0"/>
          <w:numId w:val="1001"/>
        </w:numPr>
        <w:pStyle w:val="Compact"/>
      </w:pPr>
      <w:r>
        <w:rPr>
          <w:bCs/>
          <w:b/>
        </w:rPr>
        <w:t xml:space="preserve">Confidentiality:</w:t>
      </w:r>
      <w:r>
        <w:t xml:space="preserve"> </w:t>
      </w:r>
      <w:r>
        <w:t xml:space="preserve">Both parties agree to maintain strict confidentiality regarding the research objectives of the Medical Researcher, the specifications of the equipment, and all commercial terms contained in this Purchase Order.</w:t>
      </w:r>
    </w:p>
    <w:p>
      <w:pPr>
        <w:pStyle w:val="FirstParagraph"/>
      </w:pPr>
      <w:r>
        <w:t xml:space="preserve">Authorized Signatures</w:t>
      </w:r>
    </w:p>
    <w:p>
      <w:pPr>
        <w:pStyle w:val="BodyText"/>
      </w:pPr>
      <w:r>
        <w:rPr>
          <w:bCs/>
          <w:b/>
        </w:rPr>
        <w:t xml:space="preserve">For and on behalf of the Buyer:</w:t>
      </w:r>
      <w:r>
        <w:br/>
      </w:r>
      <w:r>
        <w:br/>
      </w:r>
      <w:r>
        <w:t xml:space="preserve">______________________________</w:t>
      </w:r>
      <w:r>
        <w:br/>
      </w:r>
      <w:r>
        <w:t xml:space="preserve">Dr. Fatima Al Mansouri</w:t>
      </w:r>
      <w:r>
        <w:br/>
      </w:r>
      <w:r>
        <w:t xml:space="preserve">Chief of Research Operations</w:t>
      </w:r>
      <w:r>
        <w:br/>
      </w:r>
      <w:r>
        <w:t xml:space="preserve">Abu Dhabi Advanced Medical Research Institute</w:t>
      </w:r>
      <w:r>
        <w:br/>
      </w:r>
      <w:r>
        <w:t xml:space="preserve">Date: _______________</w:t>
      </w:r>
    </w:p>
    <w:p>
      <w:pPr>
        <w:pStyle w:val="BodyText"/>
      </w:pPr>
      <w:r>
        <w:rPr>
          <w:bCs/>
          <w:b/>
        </w:rPr>
        <w:t xml:space="preserve">For and on behalf of the Supplier:</w:t>
      </w:r>
      <w:r>
        <w:br/>
      </w:r>
      <w:r>
        <w:br/>
      </w:r>
      <w:r>
        <w:t xml:space="preserve">______________________________</w:t>
      </w:r>
      <w:r>
        <w:br/>
      </w:r>
      <w:r>
        <w:t xml:space="preserve">Mr. James Whitfield</w:t>
      </w:r>
      <w:r>
        <w:br/>
      </w:r>
      <w:r>
        <w:t xml:space="preserve">Regional Sales Director</w:t>
      </w:r>
      <w:r>
        <w:br/>
      </w:r>
      <w:r>
        <w:t xml:space="preserve">Global Scientific Instruments FZE</w:t>
      </w:r>
      <w:r>
        <w:br/>
      </w:r>
      <w:r>
        <w:t xml:space="preserve">Date: _______________</w:t>
      </w:r>
    </w:p>
    <w:p>
      <w:pPr>
        <w:pStyle w:val="BodyText"/>
      </w:pPr>
      <w:r>
        <w:t xml:space="preserve">This Purchase Order (PO-ADH-2025-04782) is issued by the Abu Dhabi Advanced Medical Research Institute for the procurement of laboratory equipment and consumables in support of the Medical Researcher program. All transactions are subject to the tax and commercial regulations of the United Arab Emirates Abu Dhabi. This document is valid only when signed and stamped by both parties. For inquiries, contact the Procurement Department at procurement@adamri.ae or +971-2-555-0198.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United Arab Emirates Abu Dhabi</dc:title>
  <dc:creator/>
  <dc:language>en</dc:language>
  <cp:keywords/>
  <dcterms:created xsi:type="dcterms:W3CDTF">2026-10-10T04:36:10Z</dcterms:created>
  <dcterms:modified xsi:type="dcterms:W3CDTF">2026-10-10T04:36:10Z</dcterms:modified>
</cp:coreProperties>
</file>

<file path=docProps/custom.xml><?xml version="1.0" encoding="utf-8"?>
<Properties xmlns="http://schemas.openxmlformats.org/officeDocument/2006/custom-properties" xmlns:vt="http://schemas.openxmlformats.org/officeDocument/2006/docPropsVTypes"/>
</file>