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Medical Researcher Professional Services &amp; Laboratory Equipment Procurement</w:t>
      </w:r>
    </w:p>
    <w:p>
      <w:pPr>
        <w:pStyle w:val="BodyText"/>
      </w:pPr>
      <w:r>
        <w:t xml:space="preserve">United Arab Emirates Dubai | Issued Under UAE Commercial Law</w:t>
      </w:r>
    </w:p>
    <w:bookmarkEnd w:id="20"/>
    <w:p>
      <w:pPr>
        <w:pStyle w:val="BodyText"/>
      </w:pPr>
      <w:r>
        <w:t xml:space="preserve">PO No.: UAE-DXB-MR-2025-00472</w:t>
      </w:r>
      <w:r>
        <w:br/>
      </w:r>
      <w:r>
        <w:t xml:space="preserve">Date of Issue: 15 June 2025</w:t>
      </w:r>
      <w:r>
        <w:br/>
      </w:r>
      <w:r>
        <w:t xml:space="preserve">Valid Until: 15 July 2025</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Dubai Advanced Medical Research Institute (DAMRI)</w:t>
      </w:r>
    </w:p>
    <w:p>
      <w:pPr>
        <w:pStyle w:val="BodyText"/>
      </w:pPr>
      <w:r>
        <w:rPr>
          <w:bCs/>
          <w:b/>
        </w:rPr>
        <w:t xml:space="preserve">Address:</w:t>
      </w:r>
      <w:r>
        <w:t xml:space="preserve"> </w:t>
      </w:r>
      <w:r>
        <w:t xml:space="preserve">Sheikh Zayed Road, Downtown Dubai, United Arab Emirates Dubai</w:t>
      </w:r>
    </w:p>
    <w:p>
      <w:pPr>
        <w:pStyle w:val="BodyText"/>
      </w:pPr>
      <w:r>
        <w:rPr>
          <w:bCs/>
          <w:b/>
        </w:rPr>
        <w:t xml:space="preserve">Trade License No.:</w:t>
      </w:r>
      <w:r>
        <w:t xml:space="preserve"> </w:t>
      </w:r>
      <w:r>
        <w:t xml:space="preserve">10458723</w:t>
      </w:r>
    </w:p>
    <w:p>
      <w:pPr>
        <w:pStyle w:val="BodyText"/>
      </w:pPr>
      <w:r>
        <w:rPr>
          <w:bCs/>
          <w:b/>
        </w:rPr>
        <w:t xml:space="preserve">VAT No.:</w:t>
      </w:r>
      <w:r>
        <w:t xml:space="preserve"> </w:t>
      </w:r>
      <w:r>
        <w:t xml:space="preserve">100458723000003</w:t>
      </w:r>
    </w:p>
    <w:p>
      <w:pPr>
        <w:pStyle w:val="BodyText"/>
      </w:pPr>
      <w:r>
        <w:rPr>
          <w:bCs/>
          <w:b/>
        </w:rPr>
        <w:t xml:space="preserve">Contact:</w:t>
      </w:r>
      <w:r>
        <w:t xml:space="preserve"> </w:t>
      </w:r>
      <w:r>
        <w:t xml:space="preserve">Dr. Ahmed Al Mansoori, Procurement Director</w:t>
      </w:r>
    </w:p>
    <w:p>
      <w:pPr>
        <w:pStyle w:val="BodyText"/>
      </w:pPr>
      <w:r>
        <w:rPr>
          <w:bCs/>
          <w:b/>
        </w:rPr>
        <w:t xml:space="preserve">Email:</w:t>
      </w:r>
      <w:r>
        <w:t xml:space="preserve"> </w:t>
      </w:r>
      <w:r>
        <w:t xml:space="preserve">procurement@damri.ae</w:t>
      </w:r>
    </w:p>
    <w:p>
      <w:pPr>
        <w:pStyle w:val="BodyText"/>
      </w:pPr>
      <w:r>
        <w:rPr>
          <w:bCs/>
          <w:b/>
        </w:rPr>
        <w:t xml:space="preserve">Phone:</w:t>
      </w:r>
      <w:r>
        <w:t xml:space="preserve"> </w:t>
      </w:r>
      <w:r>
        <w:t xml:space="preserve">+971 4 555 0192</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Global Scientific Instruments FZE</w:t>
      </w:r>
    </w:p>
    <w:p>
      <w:pPr>
        <w:pStyle w:val="BodyText"/>
      </w:pPr>
      <w:r>
        <w:rPr>
          <w:bCs/>
          <w:b/>
        </w:rPr>
        <w:t xml:space="preserve">Address:</w:t>
      </w:r>
      <w:r>
        <w:t xml:space="preserve"> </w:t>
      </w:r>
      <w:r>
        <w:t xml:space="preserve">Jebel Ali Free Zone, Plot 45, United Arab Emirates Dubai</w:t>
      </w:r>
    </w:p>
    <w:p>
      <w:pPr>
        <w:pStyle w:val="BodyText"/>
      </w:pPr>
      <w:r>
        <w:rPr>
          <w:bCs/>
          <w:b/>
        </w:rPr>
        <w:t xml:space="preserve">Trade License No.:</w:t>
      </w:r>
      <w:r>
        <w:t xml:space="preserve"> </w:t>
      </w:r>
      <w:r>
        <w:t xml:space="preserve">20876541</w:t>
      </w:r>
    </w:p>
    <w:p>
      <w:pPr>
        <w:pStyle w:val="BodyText"/>
      </w:pPr>
      <w:r>
        <w:rPr>
          <w:bCs/>
          <w:b/>
        </w:rPr>
        <w:t xml:space="preserve">VAT No.:</w:t>
      </w:r>
      <w:r>
        <w:t xml:space="preserve"> </w:t>
      </w:r>
      <w:r>
        <w:t xml:space="preserve">100208765000003</w:t>
      </w:r>
    </w:p>
    <w:p>
      <w:pPr>
        <w:pStyle w:val="BodyText"/>
      </w:pPr>
      <w:r>
        <w:rPr>
          <w:bCs/>
          <w:b/>
        </w:rPr>
        <w:t xml:space="preserve">Contact:</w:t>
      </w:r>
      <w:r>
        <w:t xml:space="preserve"> </w:t>
      </w:r>
      <w:r>
        <w:t xml:space="preserve">Ms. Sarah Thompson, Sales Manager</w:t>
      </w:r>
    </w:p>
    <w:p>
      <w:pPr>
        <w:pStyle w:val="BodyText"/>
      </w:pPr>
      <w:r>
        <w:rPr>
          <w:bCs/>
          <w:b/>
        </w:rPr>
        <w:t xml:space="preserve">Email:</w:t>
      </w:r>
      <w:r>
        <w:t xml:space="preserve"> </w:t>
      </w:r>
      <w:r>
        <w:t xml:space="preserve">sales@globalsci-fze.com</w:t>
      </w:r>
    </w:p>
    <w:p>
      <w:pPr>
        <w:pStyle w:val="BodyText"/>
      </w:pPr>
      <w:r>
        <w:rPr>
          <w:bCs/>
          <w:b/>
        </w:rPr>
        <w:t xml:space="preserve">Phone:</w:t>
      </w:r>
      <w:r>
        <w:t xml:space="preserve"> </w:t>
      </w:r>
      <w:r>
        <w:t xml:space="preserve">+971 4 888 3321</w:t>
      </w:r>
    </w:p>
    <w:bookmarkEnd w:id="22"/>
    <w:p>
      <w:pPr>
        <w:pStyle w:val="BodyText"/>
      </w:pPr>
      <w:r>
        <w:t xml:space="preserve">Purpose of This Purchase Order</w:t>
      </w:r>
    </w:p>
    <w:p>
      <w:pPr>
        <w:pStyle w:val="BodyText"/>
      </w:pPr>
      <w:r>
        <w:t xml:space="preserve">This</w:t>
      </w:r>
      <w:r>
        <w:t xml:space="preserve"> </w:t>
      </w:r>
      <w:r>
        <w:t xml:space="preserve">Purchase Order</w:t>
      </w:r>
      <w:r>
        <w:t xml:space="preserve"> </w:t>
      </w:r>
      <w:r>
        <w:t xml:space="preserve">is issued by the Dubai Advanced Medical Research Institute to procure specialized laboratory equipment, reagents, and professional services required to support the work of a senior</w:t>
      </w:r>
      <w:r>
        <w:t xml:space="preserve"> </w:t>
      </w:r>
      <w:r>
        <w:t xml:space="preserve">Medical Researcher</w:t>
      </w:r>
      <w:r>
        <w:t xml:space="preserve"> </w:t>
      </w:r>
      <w:r>
        <w:t xml:space="preserve">conducting clinical trials and genomic studies within the United Arab Emirates Dubai jurisdiction. This document governs the terms, conditions, pricing, and delivery schedule for all items and services listed herein. All transactions under this</w:t>
      </w:r>
      <w:r>
        <w:t xml:space="preserve"> </w:t>
      </w:r>
      <w:r>
        <w:t xml:space="preserve">Purchase Order</w:t>
      </w:r>
      <w:r>
        <w:t xml:space="preserve"> </w:t>
      </w:r>
      <w:r>
        <w:t xml:space="preserve">shall comply with the regulations of the Dubai Municipality, the UAE Ministry of Health and Prevention, and applicable federal and emirate-level commercial legislation in force in the United Arab Emirates Dubai.</w:t>
      </w:r>
    </w:p>
    <w:p>
      <w:pPr>
        <w:pStyle w:val="BodyText"/>
      </w:pPr>
      <w:r>
        <w:t xml:space="preserve">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High-Performance Liquid Chromatography (HPLC) System – for Medical Researcher use in pharmacokinetic studies</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Real-Time PCR Thermal Cycler – 96-well format for genomic analysis by the Medical Researcher team</w:t>
            </w:r>
          </w:p>
        </w:tc>
        <w:tc>
          <w:tcPr/>
          <w:p>
            <w:pPr>
              <w:pStyle w:val="Compact"/>
              <w:jc w:val="left"/>
            </w:pPr>
            <w:r>
              <w:t xml:space="preserve">2</w:t>
            </w:r>
          </w:p>
        </w:tc>
        <w:tc>
          <w:tcPr/>
          <w:p>
            <w:pPr>
              <w:pStyle w:val="Compact"/>
              <w:jc w:val="left"/>
            </w:pPr>
            <w:r>
              <w:t xml:space="preserve">Unit</w:t>
            </w:r>
          </w:p>
        </w:tc>
        <w:tc>
          <w:tcPr/>
          <w:p>
            <w:pPr>
              <w:pStyle w:val="Compact"/>
              <w:jc w:val="left"/>
            </w:pPr>
            <w:r>
              <w:t xml:space="preserve">92,500.00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Cryogenic Sample Storage System (-80°C) – 400L capacity for biological specimen preservation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67,800.00</w:t>
            </w:r>
          </w:p>
        </w:tc>
        <w:tc>
          <w:tcPr/>
          <w:p>
            <w:pPr>
              <w:pStyle w:val="Compact"/>
              <w:jc w:val="left"/>
            </w:pPr>
            <w:r>
              <w:t xml:space="preserve">67,800.00</w:t>
            </w:r>
          </w:p>
        </w:tc>
      </w:tr>
      <w:tr>
        <w:tc>
          <w:tcPr/>
          <w:p>
            <w:pPr>
              <w:pStyle w:val="Compact"/>
              <w:jc w:val="left"/>
            </w:pPr>
            <w:r>
              <w:t xml:space="preserve">04</w:t>
            </w:r>
          </w:p>
        </w:tc>
        <w:tc>
          <w:tcPr/>
          <w:p>
            <w:pPr>
              <w:pStyle w:val="Compact"/>
              <w:jc w:val="left"/>
            </w:pPr>
            <w:r>
              <w:t xml:space="preserve">Class II Biological Safety Cabinet – for handling pathogenic agents in the Medical Researcher laboratory</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48,200.00</w:t>
            </w:r>
          </w:p>
        </w:tc>
        <w:tc>
          <w:tcPr/>
          <w:p>
            <w:pPr>
              <w:pStyle w:val="Compact"/>
              <w:jc w:val="left"/>
            </w:pPr>
            <w:r>
              <w:t xml:space="preserve">96,400.00</w:t>
            </w:r>
          </w:p>
        </w:tc>
      </w:tr>
      <w:tr>
        <w:tc>
          <w:tcPr/>
          <w:p>
            <w:pPr>
              <w:pStyle w:val="Compact"/>
              <w:jc w:val="left"/>
            </w:pPr>
            <w:r>
              <w:t xml:space="preserve">05</w:t>
            </w:r>
          </w:p>
        </w:tc>
        <w:tc>
          <w:tcPr/>
          <w:p>
            <w:pPr>
              <w:pStyle w:val="Compact"/>
              <w:jc w:val="left"/>
            </w:pPr>
            <w:r>
              <w:t xml:space="preserve">Annual Maintenance &amp; Calibration Service Agreement – all equipment listed above</w:t>
            </w:r>
          </w:p>
        </w:tc>
        <w:tc>
          <w:tcPr/>
          <w:p>
            <w:pPr>
              <w:pStyle w:val="Compact"/>
              <w:jc w:val="left"/>
            </w:pPr>
            <w:r>
              <w:t xml:space="preserve">1</w:t>
            </w:r>
          </w:p>
        </w:tc>
        <w:tc>
          <w:tcPr/>
          <w:p>
            <w:pPr>
              <w:pStyle w:val="Compact"/>
              <w:jc w:val="left"/>
            </w:pPr>
            <w:r>
              <w:t xml:space="preserve">Year</w:t>
            </w:r>
          </w:p>
        </w:tc>
        <w:tc>
          <w:tcPr/>
          <w:p>
            <w:pPr>
              <w:pStyle w:val="Compact"/>
              <w:jc w:val="left"/>
            </w:pPr>
            <w:r>
              <w:t xml:space="preserve">34,500.00</w:t>
            </w:r>
          </w:p>
        </w:tc>
        <w:tc>
          <w:tcPr/>
          <w:p>
            <w:pPr>
              <w:pStyle w:val="Compact"/>
              <w:jc w:val="left"/>
            </w:pPr>
            <w:r>
              <w:t xml:space="preserve">34,500.00</w:t>
            </w:r>
          </w:p>
        </w:tc>
      </w:tr>
      <w:tr>
        <w:tc>
          <w:tcPr/>
          <w:p>
            <w:pPr>
              <w:pStyle w:val="Compact"/>
              <w:jc w:val="left"/>
            </w:pPr>
            <w:r>
              <w:t xml:space="preserve">06</w:t>
            </w:r>
          </w:p>
        </w:tc>
        <w:tc>
          <w:tcPr/>
          <w:p>
            <w:pPr>
              <w:pStyle w:val="Compact"/>
              <w:jc w:val="left"/>
            </w:pPr>
            <w:r>
              <w:t xml:space="preserve">Professional Consultation – Senior Medical Researcher oversight for equipment installation and protocol validation (40 hours)</w:t>
            </w:r>
          </w:p>
        </w:tc>
        <w:tc>
          <w:tcPr/>
          <w:p>
            <w:pPr>
              <w:pStyle w:val="Compact"/>
              <w:jc w:val="left"/>
            </w:pPr>
            <w:r>
              <w:t xml:space="preserve">40</w:t>
            </w:r>
          </w:p>
        </w:tc>
        <w:tc>
          <w:tcPr/>
          <w:p>
            <w:pPr>
              <w:pStyle w:val="Compact"/>
              <w:jc w:val="left"/>
            </w:pPr>
            <w:r>
              <w:t xml:space="preserve">Hour</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Reagent Kit – Next-Generation Sequencing (NGS) Library Preparation, 200 reactions</w:t>
            </w:r>
          </w:p>
        </w:tc>
        <w:tc>
          <w:tcPr/>
          <w:p>
            <w:pPr>
              <w:pStyle w:val="Compact"/>
              <w:jc w:val="left"/>
            </w:pPr>
            <w:r>
              <w:t xml:space="preserve">5</w:t>
            </w:r>
          </w:p>
        </w:tc>
        <w:tc>
          <w:tcPr/>
          <w:p>
            <w:pPr>
              <w:pStyle w:val="Compact"/>
              <w:jc w:val="left"/>
            </w:pPr>
            <w:r>
              <w:t xml:space="preserve">Kit</w:t>
            </w:r>
          </w:p>
        </w:tc>
        <w:tc>
          <w:tcPr/>
          <w:p>
            <w:pPr>
              <w:pStyle w:val="Compact"/>
              <w:jc w:val="left"/>
            </w:pPr>
            <w:r>
              <w:t xml:space="preserve">12,400.00</w:t>
            </w:r>
          </w:p>
        </w:tc>
        <w:tc>
          <w:tcPr/>
          <w:p>
            <w:pPr>
              <w:pStyle w:val="Compact"/>
              <w:jc w:val="left"/>
            </w:pPr>
            <w:r>
              <w:t xml:space="preserve">62,000.00</w:t>
            </w:r>
          </w:p>
        </w:tc>
      </w:tr>
      <w:tr>
        <w:tc>
          <w:tcPr/>
          <w:p>
            <w:pPr>
              <w:pStyle w:val="Compact"/>
              <w:jc w:val="left"/>
            </w:pPr>
            <w:r>
              <w:t xml:space="preserve">08</w:t>
            </w:r>
          </w:p>
        </w:tc>
        <w:tc>
          <w:tcPr/>
          <w:p>
            <w:pPr>
              <w:pStyle w:val="Compact"/>
              <w:jc w:val="left"/>
            </w:pPr>
            <w:r>
              <w:t xml:space="preserve">Personal Protective Equipment (PPE) – N95 respirators, nitrile gloves, lab coats for Medical Researcher staff (annual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8,750.00</w:t>
            </w:r>
          </w:p>
        </w:tc>
        <w:tc>
          <w:tcPr/>
          <w:p>
            <w:pPr>
              <w:pStyle w:val="Compact"/>
              <w:jc w:val="left"/>
            </w:pPr>
            <w:r>
              <w:t xml:space="preserve">8,750.00</w:t>
            </w:r>
          </w:p>
        </w:tc>
      </w:tr>
      <w:tr>
        <w:tc>
          <w:tcPr>
            <w:gridSpan w:val="5"/>
          </w:tcPr>
          <w:p>
            <w:pPr>
              <w:pStyle w:val="Compact"/>
              <w:jc w:val="right"/>
            </w:pPr>
            <w:r>
              <w:t xml:space="preserve">Subtotal</w:t>
            </w:r>
          </w:p>
        </w:tc>
        <w:tc>
          <w:tcPr/>
          <w:p>
            <w:pPr>
              <w:pStyle w:val="Compact"/>
              <w:jc w:val="left"/>
            </w:pPr>
            <w:r>
              <w:t xml:space="preserve">687,450.00</w:t>
            </w:r>
          </w:p>
        </w:tc>
      </w:tr>
      <w:tr>
        <w:tc>
          <w:tcPr>
            <w:gridSpan w:val="5"/>
          </w:tcPr>
          <w:p>
            <w:pPr>
              <w:pStyle w:val="Compact"/>
              <w:jc w:val="right"/>
            </w:pPr>
            <w:r>
              <w:t xml:space="preserve">VAT (5% – UAE Standard Rate)</w:t>
            </w:r>
          </w:p>
        </w:tc>
        <w:tc>
          <w:tcPr/>
          <w:p>
            <w:pPr>
              <w:pStyle w:val="Compact"/>
              <w:jc w:val="left"/>
            </w:pPr>
            <w:r>
              <w:t xml:space="preserve">34,372.50</w:t>
            </w:r>
          </w:p>
        </w:tc>
      </w:tr>
      <w:tr>
        <w:tc>
          <w:tcPr>
            <w:gridSpan w:val="5"/>
          </w:tcPr>
          <w:p>
            <w:pPr>
              <w:pStyle w:val="Compact"/>
              <w:jc w:val="right"/>
            </w:pPr>
            <w:r>
              <w:t xml:space="preserve">Grand Total (AED)</w:t>
            </w:r>
          </w:p>
        </w:tc>
        <w:tc>
          <w:tcPr/>
          <w:p>
            <w:pPr>
              <w:pStyle w:val="Compact"/>
              <w:jc w:val="left"/>
            </w:pPr>
            <w:r>
              <w:t xml:space="preserve">721,822.50</w:t>
            </w:r>
          </w:p>
        </w:tc>
      </w:tr>
    </w:tbl>
    <w:p>
      <w:pPr>
        <w:pStyle w:val="BodyText"/>
      </w:pPr>
      <w:r>
        <w:t xml:space="preserve">Delivery and Installation</w:t>
      </w:r>
    </w:p>
    <w:p>
      <w:pPr>
        <w:pStyle w:val="BodyText"/>
      </w:pPr>
      <w:r>
        <w:t xml:space="preserve">All equipment and materials referenced in this</w:t>
      </w:r>
      <w:r>
        <w:t xml:space="preserve"> </w:t>
      </w:r>
      <w:r>
        <w:t xml:space="preserve">Purchase Order</w:t>
      </w:r>
      <w:r>
        <w:t xml:space="preserve"> </w:t>
      </w:r>
      <w:r>
        <w:t xml:space="preserve">shall be delivered to the DAMRI laboratory facility located at Sheikh Zayed Road, Downtown Dubai, United Arab Emirates Dubai, no later than 30 July 2025. The supplier shall be responsible for freight, customs clearance at Jebel Ali Port or Dubai International Airport (as applicable), and on-site installation. A qualified</w:t>
      </w:r>
      <w:r>
        <w:t xml:space="preserve"> </w:t>
      </w:r>
      <w:r>
        <w:t xml:space="preserve">Medical Researcher</w:t>
      </w:r>
      <w:r>
        <w:t xml:space="preserve"> </w:t>
      </w:r>
      <w:r>
        <w:t xml:space="preserve">from the purchasing organization shall be present during installation to verify that all instruments meet the operational specifications required for the ongoing clinical research programme. The supplier shall provide a minimum of 48 hours' written notice prior to delivery to the designated receiving office in the United Arab Emirates Dubai.</w:t>
      </w:r>
    </w:p>
    <w:p>
      <w:pPr>
        <w:pStyle w:val="BodyText"/>
      </w:pPr>
      <w:r>
        <w:t xml:space="preserve">Payment Terms</w:t>
      </w:r>
    </w:p>
    <w:p>
      <w:pPr>
        <w:pStyle w:val="BodyText"/>
      </w:pPr>
      <w:r>
        <w:t xml:space="preserve">Payment for this</w:t>
      </w:r>
      <w:r>
        <w:t xml:space="preserve"> </w:t>
      </w:r>
      <w:r>
        <w:t xml:space="preserve">Purchase Order</w:t>
      </w:r>
      <w:r>
        <w:t xml:space="preserve"> </w:t>
      </w:r>
      <w:r>
        <w:t xml:space="preserve">shall be made in United Arab Emirates Dirhams (AED) via bank transfer to the supplier's designated account. The payment schedule is as follows: (a) 30% advance payment (AED 216,546.75) due within 10 business days of acceptance of this</w:t>
      </w:r>
      <w:r>
        <w:t xml:space="preserve"> </w:t>
      </w:r>
      <w:r>
        <w:t xml:space="preserve">Purchase Order</w:t>
      </w:r>
      <w:r>
        <w:t xml:space="preserve">; (b) 50% (AED 360,911.25) due upon confirmed delivery and successful installation of all equipment at the United Arab Emirates Dubai facility; (c) 20% (AED 144,364.50) due upon completion of the 30-day performance warranty period and sign-off by the responsible</w:t>
      </w:r>
      <w:r>
        <w:t xml:space="preserve"> </w:t>
      </w:r>
      <w:r>
        <w:t xml:space="preserve">Medical Researcher</w:t>
      </w:r>
      <w:r>
        <w:t xml:space="preserve">. Late payments shall incur a penalty of 1.5% per month as stipulated under UAE commercial law.</w:t>
      </w:r>
    </w:p>
    <w:p>
      <w:pPr>
        <w:pStyle w:val="BodyText"/>
      </w:pPr>
      <w:r>
        <w:t xml:space="preserve">Warranty and Quality Assurance</w:t>
      </w:r>
    </w:p>
    <w:p>
      <w:pPr>
        <w:pStyle w:val="BodyText"/>
      </w:pPr>
      <w:r>
        <w:t xml:space="preserve">All equipment supplied under this</w:t>
      </w:r>
      <w:r>
        <w:t xml:space="preserve"> </w:t>
      </w:r>
      <w:r>
        <w:t xml:space="preserve">Purchase Order</w:t>
      </w:r>
      <w:r>
        <w:t xml:space="preserve"> </w:t>
      </w:r>
      <w:r>
        <w:t xml:space="preserve">carries a minimum 24-month manufacturer's warranty from the date of installation. The supplier guarantees that all items conform to ISO 13485 medical device quality standards and are fully compliant with the regulatory requirements of the UAE Ministry of Health and Prevention. Any equipment found to be defective or non-conforming within the warranty period shall be repaired or replaced at no additional cost to the purchasing organization. The</w:t>
      </w:r>
      <w:r>
        <w:t xml:space="preserve"> </w:t>
      </w:r>
      <w:r>
        <w:t xml:space="preserve">Medical Researcher</w:t>
      </w:r>
      <w:r>
        <w:t xml:space="preserve"> </w:t>
      </w:r>
      <w:r>
        <w:t xml:space="preserve">overseeing the laboratory shall conduct quarterly performance verification tests and report any anomalies to the supplier within 5 business days.</w:t>
      </w:r>
    </w:p>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written acceptance by both the buyer and the seller. It is governed by the laws of the United Arab Emirates and the specific commercial regulations of the emirate of Dubai.</w:t>
      </w:r>
    </w:p>
    <w:p>
      <w:pPr>
        <w:numPr>
          <w:ilvl w:val="0"/>
          <w:numId w:val="1001"/>
        </w:numPr>
        <w:pStyle w:val="Compact"/>
      </w:pPr>
      <w:r>
        <w:t xml:space="preserve">The supplier shall not subcontract any portion of the work described in this</w:t>
      </w:r>
      <w:r>
        <w:t xml:space="preserve"> </w:t>
      </w:r>
      <w:r>
        <w:t xml:space="preserve">Purchase Order</w:t>
      </w:r>
      <w:r>
        <w:t xml:space="preserve"> </w:t>
      </w:r>
      <w:r>
        <w:t xml:space="preserve">without prior written consent from the purchasing organization.</w:t>
      </w:r>
    </w:p>
    <w:p>
      <w:pPr>
        <w:numPr>
          <w:ilvl w:val="0"/>
          <w:numId w:val="1001"/>
        </w:numPr>
        <w:pStyle w:val="Compact"/>
      </w:pPr>
      <w:r>
        <w:t xml:space="preserve">All intellectual property generated by the</w:t>
      </w:r>
      <w:r>
        <w:t xml:space="preserve"> </w:t>
      </w:r>
      <w:r>
        <w:t xml:space="preserve">Medical Researcher</w:t>
      </w:r>
      <w:r>
        <w:t xml:space="preserve"> </w:t>
      </w:r>
      <w:r>
        <w:t xml:space="preserve">during the course of the research programme supported by the equipment procured herein shall remain the sole property of the Dubai Advanced Medical Research Institute.</w:t>
      </w:r>
    </w:p>
    <w:p>
      <w:pPr>
        <w:numPr>
          <w:ilvl w:val="0"/>
          <w:numId w:val="1001"/>
        </w:numPr>
        <w:pStyle w:val="Compact"/>
      </w:pPr>
      <w:r>
        <w:t xml:space="preserve">The supplier shall maintain full insurance coverage for all goods in transit within the United Arab Emirates Dubai and shall provide a certificate of insurance upon request.</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the Dubai International Financial Centre (DIFC) Courts or, at the buyer's discretion, through arbitration under the rules of the Dubai International Arbitration Centre (DIAC).</w:t>
      </w:r>
    </w:p>
    <w:p>
      <w:pPr>
        <w:numPr>
          <w:ilvl w:val="0"/>
          <w:numId w:val="1001"/>
        </w:numPr>
        <w:pStyle w:val="Compact"/>
      </w:pPr>
      <w:r>
        <w:t xml:space="preserve">Force majeure events, including but not limited to natural disasters, government sanctions, or public health emergencies declared by the UAE authorities, shall temporarily suspend obligations under this</w:t>
      </w:r>
      <w:r>
        <w:t xml:space="preserve"> </w:t>
      </w:r>
      <w:r>
        <w:t xml:space="preserve">Purchase Order</w:t>
      </w:r>
      <w:r>
        <w:t xml:space="preserve"> </w:t>
      </w:r>
      <w:r>
        <w:t xml:space="preserve">for a period not exceeding 60 days.</w:t>
      </w:r>
    </w:p>
    <w:p>
      <w:pPr>
        <w:numPr>
          <w:ilvl w:val="0"/>
          <w:numId w:val="1001"/>
        </w:numPr>
        <w:pStyle w:val="Compact"/>
      </w:pPr>
      <w:r>
        <w:t xml:space="preserve">The supplier shall comply with all data protection and patient confidentiality obligations under UAE Federal Decree-Law No. 45 of 2021 on the Protection of Personal Data when handling any research-related materials.</w:t>
      </w:r>
    </w:p>
    <w:p>
      <w:pPr>
        <w:numPr>
          <w:ilvl w:val="0"/>
          <w:numId w:val="1001"/>
        </w:numPr>
        <w:pStyle w:val="Compact"/>
      </w:pPr>
      <w:r>
        <w:t xml:space="preserve">This</w:t>
      </w:r>
      <w:r>
        <w:t xml:space="preserve"> </w:t>
      </w:r>
      <w:r>
        <w:t xml:space="preserve">Purchase Order</w:t>
      </w:r>
      <w:r>
        <w:t xml:space="preserve"> </w:t>
      </w:r>
      <w:r>
        <w:t xml:space="preserve">may only be amended by a written addendum signed by authorized representatives of both parties.</w:t>
      </w:r>
    </w:p>
    <w:p>
      <w:pPr>
        <w:pStyle w:val="FirstParagraph"/>
      </w:pPr>
      <w:r>
        <w:t xml:space="preserve">Acceptance and Signatures</w:t>
      </w:r>
    </w:p>
    <w:p>
      <w:pPr>
        <w:pStyle w:val="BodyText"/>
      </w:pPr>
      <w:r>
        <w:rPr>
          <w:bCs/>
          <w:b/>
        </w:rPr>
        <w:t xml:space="preserve">For and on behalf of the Purchasing Party:</w:t>
      </w:r>
    </w:p>
    <w:p>
      <w:pPr>
        <w:pStyle w:val="BodyText"/>
      </w:pPr>
      <w:r>
        <w:t xml:space="preserve">Dubai Advanced Medical Research Institute</w:t>
      </w:r>
    </w:p>
    <w:p>
      <w:pPr>
        <w:pStyle w:val="BodyText"/>
      </w:pPr>
      <w:r>
        <w:t xml:space="preserve">Dr. Ahmed Al Mansoori</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Global Scientific Instruments FZE</w:t>
      </w:r>
    </w:p>
    <w:p>
      <w:pPr>
        <w:pStyle w:val="BodyText"/>
      </w:pPr>
      <w:r>
        <w:t xml:space="preserve">Ms. Sarah Thompson</w:t>
      </w:r>
      <w:r>
        <w:br/>
      </w:r>
      <w:r>
        <w:t xml:space="preserve">Sales Manager</w:t>
      </w:r>
      <w:r>
        <w:br/>
      </w:r>
      <w:r>
        <w:t xml:space="preserve">Date: _______________</w:t>
      </w:r>
    </w:p>
    <w:p>
      <w:pPr>
        <w:pStyle w:val="BodyText"/>
      </w:pPr>
      <w:r>
        <w:t xml:space="preserve">This Purchase Order (No. UAE-DXB-MR-2025-00472) was issued in the United Arab Emirates Dubai and is valid for a period of 30 calendar days from the date of issue. All communications regarding this document shall be directed to the procurement office of the Dubai Advanced Medical Research Institute. This document is printed on secure paper with a unique QR verification code for authenticity confirmation. Unauthorized reproduction or alteration of this Purchase Order is strictly prohibited under UAE law.</w:t>
      </w:r>
    </w:p>
    <w:p>
      <w:pPr>
        <w:pStyle w:val="BodyText"/>
      </w:pPr>
      <w:r>
        <w:t xml:space="preserve">© 2025 Dubai Advanced Medical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Services - United Arab Emirates Dubai</dc:title>
  <dc:creator/>
  <dc:language>en</dc:language>
  <cp:keywords/>
  <dcterms:created xsi:type="dcterms:W3CDTF">2026-10-10T04:35:38Z</dcterms:created>
  <dcterms:modified xsi:type="dcterms:W3CDTF">2026-10-10T04:35:38Z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