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Medical Researcher Procurement — United States Miami</w:t>
      </w:r>
    </w:p>
    <w:p>
      <w:pPr>
        <w:pStyle w:val="BodyText"/>
      </w:pPr>
      <w:r>
        <w:t xml:space="preserve">This Purchase Order is issued in accordance with the procurement policies of the purchasing entity and applicable federal and state regulations within the United States Miami metropolitan area.</w:t>
      </w:r>
    </w:p>
    <w:bookmarkEnd w:id="20"/>
    <w:p>
      <w:pPr>
        <w:pStyle w:val="BodyText"/>
      </w:pPr>
      <w:r>
        <w:rPr>
          <w:bCs/>
          <w:b/>
        </w:rPr>
        <w:t xml:space="preserve">Purchase Order No.:</w:t>
      </w:r>
      <w:r>
        <w:t xml:space="preserve"> </w:t>
      </w:r>
      <w:r>
        <w:t xml:space="preserve">PO-MR-2025-04187</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United States Dollars (USD)</w:t>
      </w:r>
    </w:p>
    <w:p>
      <w:pPr>
        <w:pStyle w:val="BodyText"/>
      </w:pPr>
      <w:r>
        <w:rPr>
          <w:bCs/>
          <w:b/>
        </w:rPr>
        <w:t xml:space="preserve">Incoterms:</w:t>
      </w:r>
      <w:r>
        <w:t xml:space="preserve"> </w:t>
      </w:r>
      <w:r>
        <w:t xml:space="preserve">DDP Miami, Florida</w:t>
      </w:r>
    </w:p>
    <w:p>
      <w:pPr>
        <w:pStyle w:val="BodyText"/>
      </w:pPr>
      <w:r>
        <w:t xml:space="preserve">PARTY INFORMATION</w:t>
      </w:r>
    </w:p>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Atlantic Coast Medical Research Institute</w:t>
      </w:r>
    </w:p>
    <w:p>
      <w:pPr>
        <w:pStyle w:val="BodyText"/>
      </w:pPr>
      <w:r>
        <w:rPr>
          <w:bCs/>
          <w:b/>
        </w:rPr>
        <w:t xml:space="preserve">Department:</w:t>
      </w:r>
      <w:r>
        <w:t xml:space="preserve"> </w:t>
      </w:r>
      <w:r>
        <w:t xml:space="preserve">Department of Clinical &amp; Translational Research</w:t>
      </w:r>
    </w:p>
    <w:p>
      <w:pPr>
        <w:pStyle w:val="BodyText"/>
      </w:pPr>
      <w:r>
        <w:rPr>
          <w:bCs/>
          <w:b/>
        </w:rPr>
        <w:t xml:space="preserve">Principal Investigator:</w:t>
      </w:r>
      <w:r>
        <w:t xml:space="preserve"> </w:t>
      </w:r>
      <w:r>
        <w:t xml:space="preserve">Dr. Elena Vasquez, Ph.D. — Lead</w:t>
      </w:r>
      <w:r>
        <w:t xml:space="preserve"> </w:t>
      </w:r>
      <w:r>
        <w:t xml:space="preserve">Medical Researcher</w:t>
      </w:r>
    </w:p>
    <w:p>
      <w:pPr>
        <w:pStyle w:val="BodyText"/>
      </w:pPr>
      <w:r>
        <w:rPr>
          <w:bCs/>
          <w:b/>
        </w:rPr>
        <w:t xml:space="preserve">Address:</w:t>
      </w:r>
      <w:r>
        <w:t xml:space="preserve"> </w:t>
      </w:r>
      <w:r>
        <w:t xml:space="preserve">1200 Brickell Bay Drive, Suite 4500, Miami, Florida 33131, United States</w:t>
      </w:r>
    </w:p>
    <w:p>
      <w:pPr>
        <w:pStyle w:val="BodyText"/>
      </w:pPr>
      <w:r>
        <w:rPr>
          <w:bCs/>
          <w:b/>
        </w:rPr>
        <w:t xml:space="preserve">Contact:</w:t>
      </w:r>
      <w:r>
        <w:t xml:space="preserve"> </w:t>
      </w:r>
      <w:r>
        <w:t xml:space="preserve">procurement@acmri-miami.org | (305) 555-0142</w:t>
      </w:r>
    </w:p>
    <w:p>
      <w:pPr>
        <w:pStyle w:val="BodyText"/>
      </w:pPr>
      <w:r>
        <w:rPr>
          <w:bCs/>
          <w:b/>
        </w:rPr>
        <w:t xml:space="preserve">EIN:</w:t>
      </w:r>
      <w:r>
        <w:t xml:space="preserve"> </w:t>
      </w:r>
      <w:r>
        <w:t xml:space="preserve">82-4471903</w:t>
      </w:r>
    </w:p>
    <w:bookmarkEnd w:id="21"/>
    <w:bookmarkStart w:id="22" w:name="seller-supplier"/>
    <w:p>
      <w:pPr>
        <w:pStyle w:val="Heading3"/>
      </w:pPr>
      <w:r>
        <w:t xml:space="preserve">Seller (Supplier)</w:t>
      </w:r>
    </w:p>
    <w:p>
      <w:pPr>
        <w:pStyle w:val="FirstParagraph"/>
      </w:pPr>
      <w:r>
        <w:rPr>
          <w:bCs/>
          <w:b/>
        </w:rPr>
        <w:t xml:space="preserve">Organization:</w:t>
      </w:r>
      <w:r>
        <w:t xml:space="preserve"> </w:t>
      </w:r>
      <w:r>
        <w:t xml:space="preserve">BioLab Scientific Supply Co., LLC</w:t>
      </w:r>
    </w:p>
    <w:p>
      <w:pPr>
        <w:pStyle w:val="BodyText"/>
      </w:pPr>
      <w:r>
        <w:rPr>
          <w:bCs/>
          <w:b/>
        </w:rPr>
        <w:t xml:space="preserve">Authorized Representative:</w:t>
      </w:r>
      <w:r>
        <w:t xml:space="preserve"> </w:t>
      </w:r>
      <w:r>
        <w:t xml:space="preserve">Mr. Jonathan Reeves, Regional Sales Director</w:t>
      </w:r>
    </w:p>
    <w:p>
      <w:pPr>
        <w:pStyle w:val="BodyText"/>
      </w:pPr>
      <w:r>
        <w:rPr>
          <w:bCs/>
          <w:b/>
        </w:rPr>
        <w:t xml:space="preserve">Address:</w:t>
      </w:r>
      <w:r>
        <w:t xml:space="preserve"> </w:t>
      </w:r>
      <w:r>
        <w:t xml:space="preserve">4800 NW 37th Avenue, Miami, Florida 33142, United States</w:t>
      </w:r>
    </w:p>
    <w:p>
      <w:pPr>
        <w:pStyle w:val="BodyText"/>
      </w:pPr>
      <w:r>
        <w:rPr>
          <w:bCs/>
          <w:b/>
        </w:rPr>
        <w:t xml:space="preserve">Contact:</w:t>
      </w:r>
      <w:r>
        <w:t xml:space="preserve"> </w:t>
      </w:r>
      <w:r>
        <w:t xml:space="preserve">sales@biolabsci.com | (305) 555-0287</w:t>
      </w:r>
    </w:p>
    <w:p>
      <w:pPr>
        <w:pStyle w:val="BodyText"/>
      </w:pPr>
      <w:r>
        <w:rPr>
          <w:bCs/>
          <w:b/>
        </w:rPr>
        <w:t xml:space="preserve">Resale Certificate No.:</w:t>
      </w:r>
      <w:r>
        <w:t xml:space="preserve"> </w:t>
      </w:r>
      <w:r>
        <w:t xml:space="preserve">FL-RSC-2024-88341</w:t>
      </w:r>
    </w:p>
    <w:bookmarkEnd w:id="22"/>
    <w:p>
      <w:pPr>
        <w:pStyle w:val="BodyText"/>
      </w:pPr>
      <w:r>
        <w:t xml:space="preserve">LINE ITEMS — EQUIPMENT, SUPPLIES &amp; SERVICES FOR MEDICAL RESEARCHER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Item / Service</w:t>
            </w:r>
          </w:p>
        </w:tc>
        <w:tc>
          <w:tcPr/>
          <w:p>
            <w:pPr>
              <w:pStyle w:val="Compact"/>
              <w:jc w:val="left"/>
            </w:pPr>
            <w:r>
              <w:t xml:space="preserve">Part / Catalog No.</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High-Performance Liquid Chromatography (HPLC) System, Model HPLC-9000, with UV-Vis detector, for pharmacokinetic analysis by the assigned</w:t>
            </w:r>
            <w:r>
              <w:t xml:space="preserve"> </w:t>
            </w:r>
            <w:r>
              <w:t xml:space="preserve">Medical Researcher</w:t>
            </w:r>
          </w:p>
        </w:tc>
        <w:tc>
          <w:tcPr/>
          <w:p>
            <w:pPr>
              <w:pStyle w:val="Compact"/>
              <w:jc w:val="left"/>
            </w:pPr>
            <w:r>
              <w:t xml:space="preserve">BL-HPLC-9000</w:t>
            </w:r>
          </w:p>
        </w:tc>
        <w:tc>
          <w:tcPr/>
          <w:p>
            <w:pPr>
              <w:pStyle w:val="Compact"/>
              <w:jc w:val="left"/>
            </w:pPr>
            <w:r>
              <w:t xml:space="preserve">1</w:t>
            </w:r>
          </w:p>
        </w:tc>
        <w:tc>
          <w:tcPr/>
          <w:p>
            <w:pPr>
              <w:pStyle w:val="Compact"/>
              <w:jc w:val="left"/>
            </w:pPr>
            <w:r>
              <w:t xml:space="preserve">$48,750.00</w:t>
            </w:r>
          </w:p>
        </w:tc>
        <w:tc>
          <w:tcPr/>
          <w:p>
            <w:pPr>
              <w:pStyle w:val="Compact"/>
              <w:jc w:val="left"/>
            </w:pPr>
            <w:r>
              <w:t xml:space="preserve">$48,750.00</w:t>
            </w:r>
          </w:p>
        </w:tc>
        <w:tc>
          <w:tcPr/>
          <w:p>
            <w:pPr>
              <w:pStyle w:val="Compact"/>
              <w:jc w:val="left"/>
            </w:pPr>
            <w:r>
              <w:t xml:space="preserve">ACMRI Lab 4B, Miami, FL</w:t>
            </w:r>
          </w:p>
        </w:tc>
      </w:tr>
      <w:tr>
        <w:tc>
          <w:tcPr/>
          <w:p>
            <w:pPr>
              <w:pStyle w:val="Compact"/>
              <w:jc w:val="left"/>
            </w:pPr>
            <w:r>
              <w:t xml:space="preserve">2</w:t>
            </w:r>
          </w:p>
        </w:tc>
        <w:tc>
          <w:tcPr/>
          <w:p>
            <w:pPr>
              <w:pStyle w:val="Compact"/>
              <w:jc w:val="left"/>
            </w:pPr>
            <w:r>
              <w:t xml:space="preserve">Real-Time PCR Thermal Cycler, 96-well format, with data analysis software license (5-year), for molecular biology research conducted by the</w:t>
            </w:r>
            <w:r>
              <w:t xml:space="preserve"> </w:t>
            </w:r>
            <w:r>
              <w:t xml:space="preserve">Medical Researcher</w:t>
            </w:r>
            <w:r>
              <w:t xml:space="preserve"> </w:t>
            </w:r>
            <w:r>
              <w:t xml:space="preserve">team</w:t>
            </w:r>
          </w:p>
        </w:tc>
        <w:tc>
          <w:tcPr/>
          <w:p>
            <w:pPr>
              <w:pStyle w:val="Compact"/>
              <w:jc w:val="left"/>
            </w:pPr>
            <w:r>
              <w:t xml:space="preserve">BL-PCR-96RT</w:t>
            </w:r>
          </w:p>
        </w:tc>
        <w:tc>
          <w:tcPr/>
          <w:p>
            <w:pPr>
              <w:pStyle w:val="Compact"/>
              <w:jc w:val="left"/>
            </w:pPr>
            <w:r>
              <w:t xml:space="preserve">2</w:t>
            </w:r>
          </w:p>
        </w:tc>
        <w:tc>
          <w:tcPr/>
          <w:p>
            <w:pPr>
              <w:pStyle w:val="Compact"/>
              <w:jc w:val="left"/>
            </w:pPr>
            <w:r>
              <w:t xml:space="preserve">$12,400.00</w:t>
            </w:r>
          </w:p>
        </w:tc>
        <w:tc>
          <w:tcPr/>
          <w:p>
            <w:pPr>
              <w:pStyle w:val="Compact"/>
              <w:jc w:val="left"/>
            </w:pPr>
            <w:r>
              <w:t xml:space="preserve">$24,800.00</w:t>
            </w:r>
          </w:p>
        </w:tc>
        <w:tc>
          <w:tcPr/>
          <w:p>
            <w:pPr>
              <w:pStyle w:val="Compact"/>
              <w:jc w:val="left"/>
            </w:pPr>
            <w:r>
              <w:t xml:space="preserve">ACMRI Lab 4B, Miami, FL</w:t>
            </w:r>
          </w:p>
        </w:tc>
      </w:tr>
      <w:tr>
        <w:tc>
          <w:tcPr/>
          <w:p>
            <w:pPr>
              <w:pStyle w:val="Compact"/>
              <w:jc w:val="left"/>
            </w:pPr>
            <w:r>
              <w:t xml:space="preserve">3</w:t>
            </w:r>
          </w:p>
        </w:tc>
        <w:tc>
          <w:tcPr/>
          <w:p>
            <w:pPr>
              <w:pStyle w:val="Compact"/>
              <w:jc w:val="left"/>
            </w:pPr>
            <w:r>
              <w:t xml:space="preserve">Class II Biological Safety Cabinet (BSC), 4-foot, with HEPA filtration, for handling of human tissue samples in the</w:t>
            </w:r>
            <w:r>
              <w:t xml:space="preserve"> </w:t>
            </w:r>
            <w:r>
              <w:t xml:space="preserve">Medical Researcher</w:t>
            </w:r>
            <w:r>
              <w:t xml:space="preserve"> </w:t>
            </w:r>
            <w:r>
              <w:t xml:space="preserve">laboratory</w:t>
            </w:r>
          </w:p>
        </w:tc>
        <w:tc>
          <w:tcPr/>
          <w:p>
            <w:pPr>
              <w:pStyle w:val="Compact"/>
              <w:jc w:val="left"/>
            </w:pPr>
            <w:r>
              <w:t xml:space="preserve">BL-BSC-4FT-II</w:t>
            </w:r>
          </w:p>
        </w:tc>
        <w:tc>
          <w:tcPr/>
          <w:p>
            <w:pPr>
              <w:pStyle w:val="Compact"/>
              <w:jc w:val="left"/>
            </w:pPr>
            <w:r>
              <w:t xml:space="preserve">1</w:t>
            </w:r>
          </w:p>
        </w:tc>
        <w:tc>
          <w:tcPr/>
          <w:p>
            <w:pPr>
              <w:pStyle w:val="Compact"/>
              <w:jc w:val="left"/>
            </w:pPr>
            <w:r>
              <w:t xml:space="preserve">$9,850.00</w:t>
            </w:r>
          </w:p>
        </w:tc>
        <w:tc>
          <w:tcPr/>
          <w:p>
            <w:pPr>
              <w:pStyle w:val="Compact"/>
              <w:jc w:val="left"/>
            </w:pPr>
            <w:r>
              <w:t xml:space="preserve">$9,850.00</w:t>
            </w:r>
          </w:p>
        </w:tc>
        <w:tc>
          <w:tcPr/>
          <w:p>
            <w:pPr>
              <w:pStyle w:val="Compact"/>
              <w:jc w:val="left"/>
            </w:pPr>
            <w:r>
              <w:t xml:space="preserve">ACMRI Lab 4C, Miami, FL</w:t>
            </w:r>
          </w:p>
        </w:tc>
      </w:tr>
      <w:tr>
        <w:tc>
          <w:tcPr/>
          <w:p>
            <w:pPr>
              <w:pStyle w:val="Compact"/>
              <w:jc w:val="left"/>
            </w:pPr>
            <w:r>
              <w:t xml:space="preserve">4</w:t>
            </w:r>
          </w:p>
        </w:tc>
        <w:tc>
          <w:tcPr/>
          <w:p>
            <w:pPr>
              <w:pStyle w:val="Compact"/>
              <w:jc w:val="left"/>
            </w:pPr>
            <w:r>
              <w:t xml:space="preserve">Refrigerated Centrifuge, 4°C to 40°C, 15,000 RPM, for protein isolation procedures required by the</w:t>
            </w:r>
            <w:r>
              <w:t xml:space="preserve"> </w:t>
            </w:r>
            <w:r>
              <w:t xml:space="preserve">Medical Researcher</w:t>
            </w:r>
          </w:p>
        </w:tc>
        <w:tc>
          <w:tcPr/>
          <w:p>
            <w:pPr>
              <w:pStyle w:val="Compact"/>
              <w:jc w:val="left"/>
            </w:pPr>
            <w:r>
              <w:t xml:space="preserve">BL-CF-15K</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ACMRI Lab 4B, Miami, FL</w:t>
            </w:r>
          </w:p>
        </w:tc>
      </w:tr>
      <w:tr>
        <w:tc>
          <w:tcPr/>
          <w:p>
            <w:pPr>
              <w:pStyle w:val="Compact"/>
              <w:jc w:val="left"/>
            </w:pPr>
            <w:r>
              <w:t xml:space="preserve">5</w:t>
            </w:r>
          </w:p>
        </w:tc>
        <w:tc>
          <w:tcPr/>
          <w:p>
            <w:pPr>
              <w:pStyle w:val="Compact"/>
              <w:jc w:val="left"/>
            </w:pPr>
            <w:r>
              <w:t xml:space="preserve">Consumable Kit: Nitrile gloves (size M, 1000 ct), pipette tips (10µL, 100µL, 1000µL, 1000 ct each), and sterile culture media (500 mL, 24 ct) — quarterly supply for the</w:t>
            </w:r>
            <w:r>
              <w:t xml:space="preserve"> </w:t>
            </w:r>
            <w:r>
              <w:t xml:space="preserve">Medical Researcher</w:t>
            </w:r>
            <w:r>
              <w:t xml:space="preserve"> </w:t>
            </w:r>
            <w:r>
              <w:t xml:space="preserve">laboratory operations</w:t>
            </w:r>
          </w:p>
        </w:tc>
        <w:tc>
          <w:tcPr/>
          <w:p>
            <w:pPr>
              <w:pStyle w:val="Compact"/>
              <w:jc w:val="left"/>
            </w:pPr>
            <w:r>
              <w:t xml:space="preserve">BL-CONS-QTR-25</w:t>
            </w:r>
          </w:p>
        </w:tc>
        <w:tc>
          <w:tcPr/>
          <w:p>
            <w:pPr>
              <w:pStyle w:val="Compact"/>
              <w:jc w:val="left"/>
            </w:pPr>
            <w:r>
              <w:t xml:space="preserve">4</w:t>
            </w:r>
          </w:p>
        </w:tc>
        <w:tc>
          <w:tcPr/>
          <w:p>
            <w:pPr>
              <w:pStyle w:val="Compact"/>
              <w:jc w:val="left"/>
            </w:pPr>
            <w:r>
              <w:t xml:space="preserve">$1,340.00</w:t>
            </w:r>
          </w:p>
        </w:tc>
        <w:tc>
          <w:tcPr/>
          <w:p>
            <w:pPr>
              <w:pStyle w:val="Compact"/>
              <w:jc w:val="left"/>
            </w:pPr>
            <w:r>
              <w:t xml:space="preserve">$5,360.00</w:t>
            </w:r>
          </w:p>
        </w:tc>
        <w:tc>
          <w:tcPr/>
          <w:p>
            <w:pPr>
              <w:pStyle w:val="Compact"/>
              <w:jc w:val="left"/>
            </w:pPr>
            <w:r>
              <w:t xml:space="preserve">ACMRI Supply Rm, Miami, FL</w:t>
            </w:r>
          </w:p>
        </w:tc>
      </w:tr>
      <w:tr>
        <w:tc>
          <w:tcPr/>
          <w:p>
            <w:pPr>
              <w:pStyle w:val="Compact"/>
              <w:jc w:val="left"/>
            </w:pPr>
            <w:r>
              <w:t xml:space="preserve">6</w:t>
            </w:r>
          </w:p>
        </w:tc>
        <w:tc>
          <w:tcPr/>
          <w:p>
            <w:pPr>
              <w:pStyle w:val="Compact"/>
              <w:jc w:val="left"/>
            </w:pPr>
            <w:r>
              <w:t xml:space="preserve">Installation, calibration, and operator training services for all capital equipment listed above, to be performed on-site in</w:t>
            </w:r>
            <w:r>
              <w:t xml:space="preserve"> </w:t>
            </w:r>
            <w:r>
              <w:t xml:space="preserve">United States Miami</w:t>
            </w:r>
            <w:r>
              <w:t xml:space="preserve"> </w:t>
            </w:r>
            <w:r>
              <w:t xml:space="preserve">by certified BioLab technicians</w:t>
            </w:r>
          </w:p>
        </w:tc>
        <w:tc>
          <w:tcPr/>
          <w:p>
            <w:pPr>
              <w:pStyle w:val="Compact"/>
              <w:jc w:val="left"/>
            </w:pPr>
            <w:r>
              <w:t xml:space="preserve">BL-SVC-INST</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ACMRI, Miami, FL</w:t>
            </w:r>
          </w:p>
        </w:tc>
      </w:tr>
      <w:tr>
        <w:tc>
          <w:tcPr/>
          <w:p>
            <w:pPr>
              <w:pStyle w:val="Compact"/>
              <w:jc w:val="left"/>
            </w:pPr>
            <w:r>
              <w:t xml:space="preserve">7</w:t>
            </w:r>
          </w:p>
        </w:tc>
        <w:tc>
          <w:tcPr/>
          <w:p>
            <w:pPr>
              <w:pStyle w:val="Compact"/>
              <w:jc w:val="left"/>
            </w:pPr>
            <w:r>
              <w:t xml:space="preserve">Extended warranty and preventive maintenance plan (36 months) covering all capital equipment, with 24-hour response time for the</w:t>
            </w:r>
            <w:r>
              <w:t xml:space="preserve"> </w:t>
            </w:r>
            <w:r>
              <w:t xml:space="preserve">Medical Researcher</w:t>
            </w:r>
            <w:r>
              <w:t xml:space="preserve"> </w:t>
            </w:r>
            <w:r>
              <w:t xml:space="preserve">laboratory in</w:t>
            </w:r>
            <w:r>
              <w:t xml:space="preserve"> </w:t>
            </w:r>
            <w:r>
              <w:t xml:space="preserve">United States Miami</w:t>
            </w:r>
          </w:p>
        </w:tc>
        <w:tc>
          <w:tcPr/>
          <w:p>
            <w:pPr>
              <w:pStyle w:val="Compact"/>
              <w:jc w:val="left"/>
            </w:pPr>
            <w:r>
              <w:t xml:space="preserve">BL-WTY-36M</w:t>
            </w:r>
          </w:p>
        </w:tc>
        <w:tc>
          <w:tcPr/>
          <w:p>
            <w:pPr>
              <w:pStyle w:val="Compact"/>
              <w:jc w:val="left"/>
            </w:pPr>
            <w:r>
              <w:t xml:space="preserve">1</w:t>
            </w:r>
          </w:p>
        </w:tc>
        <w:tc>
          <w:tcPr/>
          <w:p>
            <w:pPr>
              <w:pStyle w:val="Compact"/>
              <w:jc w:val="left"/>
            </w:pPr>
            <w:r>
              <w:t xml:space="preserve">$11,200.00</w:t>
            </w:r>
          </w:p>
        </w:tc>
        <w:tc>
          <w:tcPr/>
          <w:p>
            <w:pPr>
              <w:pStyle w:val="Compact"/>
              <w:jc w:val="left"/>
            </w:pPr>
            <w:r>
              <w:t xml:space="preserve">$11,200.00</w:t>
            </w:r>
          </w:p>
        </w:tc>
        <w:tc>
          <w:tcPr/>
          <w:p>
            <w:pPr>
              <w:pStyle w:val="Compact"/>
              <w:jc w:val="left"/>
            </w:pPr>
            <w:r>
              <w:t xml:space="preserve">N/A (Service)</w:t>
            </w:r>
          </w:p>
        </w:tc>
      </w:tr>
    </w:tbl>
    <w:p>
      <w:pPr>
        <w:pStyle w:val="BodyText"/>
      </w:pPr>
      <w:r>
        <w:rPr>
          <w:bCs/>
          <w:b/>
        </w:rPr>
        <w:t xml:space="preserve">Subtotal:</w:t>
      </w:r>
      <w:r>
        <w:t xml:space="preserve"> </w:t>
      </w:r>
      <w:r>
        <w:t xml:space="preserve">$113,660.00</w:t>
      </w:r>
    </w:p>
    <w:p>
      <w:pPr>
        <w:pStyle w:val="BodyText"/>
      </w:pPr>
      <w:r>
        <w:rPr>
          <w:bCs/>
          <w:b/>
        </w:rPr>
        <w:t xml:space="preserve">Florida Sales Tax (exempt — Research &amp; Educational Use, Cert. No. FL-EX-2025-0091):</w:t>
      </w:r>
      <w:r>
        <w:t xml:space="preserve"> </w:t>
      </w:r>
      <w:r>
        <w:t xml:space="preserve">$0.00</w:t>
      </w:r>
    </w:p>
    <w:p>
      <w:pPr>
        <w:pStyle w:val="BodyText"/>
      </w:pPr>
      <w:r>
        <w:rPr>
          <w:bCs/>
          <w:b/>
        </w:rPr>
        <w:t xml:space="preserve">Freight &amp; Handling (Miami, FL delivery):</w:t>
      </w:r>
      <w:r>
        <w:t xml:space="preserve"> </w:t>
      </w:r>
      <w:r>
        <w:t xml:space="preserve">$1,850.00</w:t>
      </w:r>
    </w:p>
    <w:p>
      <w:pPr>
        <w:pStyle w:val="BodyText"/>
      </w:pPr>
      <w:r>
        <w:rPr>
          <w:bCs/>
          <w:b/>
        </w:rPr>
        <w:t xml:space="preserve">GRAND TOTAL: $115,510.00 USD</w:t>
      </w:r>
    </w:p>
    <w:p>
      <w:pPr>
        <w:pStyle w:val="BodyText"/>
      </w:pPr>
      <w:r>
        <w:t xml:space="preserve">TERMS AND CONDITIONS</w:t>
      </w:r>
    </w:p>
    <w:p>
      <w:pPr>
        <w:numPr>
          <w:ilvl w:val="0"/>
          <w:numId w:val="1001"/>
        </w:numPr>
        <w:pStyle w:val="Compact"/>
      </w:pPr>
      <w:r>
        <w:rPr>
          <w:bCs/>
          <w:b/>
        </w:rPr>
        <w:t xml:space="preserve">Scope of Purchase Order:</w:t>
      </w:r>
      <w:r>
        <w:t xml:space="preserve"> </w:t>
      </w:r>
      <w:r>
        <w:t xml:space="preserve">This Purchase Order (PO-MR-2025-04187) is issued by the Atlantic Coast Medical Research Institute to procure specialized laboratory equipment, consumable supplies, and professional services necessary to support the ongoing research program led by the designated</w:t>
      </w:r>
      <w:r>
        <w:t xml:space="preserve"> </w:t>
      </w:r>
      <w:r>
        <w:t xml:space="preserve">Medical Researcher</w:t>
      </w:r>
      <w:r>
        <w:t xml:space="preserve">, Dr. Elena Vasquez, Ph.D., at the institute's facility located in</w:t>
      </w:r>
      <w:r>
        <w:t xml:space="preserve"> </w:t>
      </w:r>
      <w:r>
        <w:t xml:space="preserve">United States Miami</w:t>
      </w:r>
      <w:r>
        <w:t xml:space="preserve">, Florida. All items and services described herein are subject to the terms set forth in this document.</w:t>
      </w:r>
    </w:p>
    <w:p>
      <w:pPr>
        <w:numPr>
          <w:ilvl w:val="0"/>
          <w:numId w:val="1001"/>
        </w:numPr>
        <w:pStyle w:val="Compact"/>
      </w:pPr>
      <w:r>
        <w:rPr>
          <w:bCs/>
          <w:b/>
        </w:rPr>
        <w:t xml:space="preserve">Acceptance &amp; Inspection:</w:t>
      </w:r>
      <w:r>
        <w:t xml:space="preserve"> </w:t>
      </w:r>
      <w:r>
        <w:t xml:space="preserve">Upon delivery to the specified location in Miami, Florida, the</w:t>
      </w:r>
      <w:r>
        <w:t xml:space="preserve"> </w:t>
      </w:r>
      <w:r>
        <w:t xml:space="preserve">Medical Researcher</w:t>
      </w:r>
      <w:r>
        <w:t xml:space="preserve"> </w:t>
      </w:r>
      <w:r>
        <w:t xml:space="preserve">and the institute's facilities management team shall inspect all equipment within five (5) business days. Any defects, missing components, or non-conformities must be reported in writing to the supplier within the inspection window. Failure to report within this period shall constitute acceptance of the goods.</w:t>
      </w:r>
    </w:p>
    <w:p>
      <w:pPr>
        <w:numPr>
          <w:ilvl w:val="0"/>
          <w:numId w:val="1001"/>
        </w:numPr>
        <w:pStyle w:val="Compact"/>
      </w:pPr>
      <w:r>
        <w:rPr>
          <w:bCs/>
          <w:b/>
        </w:rPr>
        <w:t xml:space="preserve">Delivery &amp; Risk of Loss:</w:t>
      </w:r>
      <w:r>
        <w:t xml:space="preserve"> </w:t>
      </w:r>
      <w:r>
        <w:t xml:space="preserve">The supplier shall deliver all items to the address listed in the Buyer section, located in</w:t>
      </w:r>
      <w:r>
        <w:t xml:space="preserve"> </w:t>
      </w:r>
      <w:r>
        <w:t xml:space="preserve">United States Miami</w:t>
      </w:r>
      <w:r>
        <w:t xml:space="preserve">, no later than July 15, 2025. Title and risk of loss shall transfer to the Buyer upon physical delivery and signature of the receiving manifest at the Miami facility. The supplier is responsible for all packaging, crating, and secure transport to the</w:t>
      </w:r>
      <w:r>
        <w:t xml:space="preserve"> </w:t>
      </w:r>
      <w:r>
        <w:t xml:space="preserve">United States Miami</w:t>
      </w:r>
      <w:r>
        <w:t xml:space="preserve"> </w:t>
      </w:r>
      <w:r>
        <w:t xml:space="preserve">delivery site.</w:t>
      </w:r>
    </w:p>
    <w:p>
      <w:pPr>
        <w:numPr>
          <w:ilvl w:val="0"/>
          <w:numId w:val="1001"/>
        </w:numPr>
        <w:pStyle w:val="Compact"/>
      </w:pPr>
      <w:r>
        <w:rPr>
          <w:bCs/>
          <w:b/>
        </w:rPr>
        <w:t xml:space="preserve">Payment:</w:t>
      </w:r>
      <w:r>
        <w:t xml:space="preserve"> </w:t>
      </w:r>
      <w:r>
        <w:t xml:space="preserve">Payment of the total amount of $115,510.00 USD shall be made via wire transfer to the supplier's designated bank account within thirty (30) calendar days of the date of the supplier's invoice, provided that all goods have been accepted and all services have been satisfactorily completed. Late payments shall accrue interest at a rate of 1.5% per month, in accordance with Florida state commercial code provisions applicable in</w:t>
      </w:r>
      <w:r>
        <w:t xml:space="preserve"> </w:t>
      </w:r>
      <w:r>
        <w:t xml:space="preserve">United States Miami</w:t>
      </w:r>
      <w:r>
        <w:t xml:space="preserve">.</w:t>
      </w:r>
    </w:p>
    <w:p>
      <w:pPr>
        <w:numPr>
          <w:ilvl w:val="0"/>
          <w:numId w:val="1001"/>
        </w:numPr>
        <w:pStyle w:val="Compact"/>
      </w:pPr>
      <w:r>
        <w:rPr>
          <w:bCs/>
          <w:b/>
        </w:rPr>
        <w:t xml:space="preserve">Warranty:</w:t>
      </w:r>
      <w:r>
        <w:t xml:space="preserve"> </w:t>
      </w:r>
      <w:r>
        <w:t xml:space="preserve">All capital equipment shall carry a minimum manufacturer's warranty of twenty-four (24) months from the date of installation, in addition to the extended 36-month warranty plan specified in Line Item 7. The</w:t>
      </w:r>
      <w:r>
        <w:t xml:space="preserve"> </w:t>
      </w:r>
      <w:r>
        <w:t xml:space="preserve">Medical Researcher</w:t>
      </w:r>
      <w:r>
        <w:t xml:space="preserve"> </w:t>
      </w:r>
      <w:r>
        <w:t xml:space="preserve">laboratory shall be entitled to on-site service calls within the</w:t>
      </w:r>
      <w:r>
        <w:t xml:space="preserve"> </w:t>
      </w:r>
      <w:r>
        <w:t xml:space="preserve">United States Miami</w:t>
      </w:r>
      <w:r>
        <w:t xml:space="preserve"> </w:t>
      </w:r>
      <w:r>
        <w:t xml:space="preserve">metropolitan area within twenty-four (24) hours of a reported malfunction.</w:t>
      </w:r>
    </w:p>
    <w:p>
      <w:pPr>
        <w:numPr>
          <w:ilvl w:val="0"/>
          <w:numId w:val="1001"/>
        </w:numPr>
        <w:pStyle w:val="Compact"/>
      </w:pPr>
      <w:r>
        <w:rPr>
          <w:bCs/>
          <w:b/>
        </w:rPr>
        <w:t xml:space="preserve">Compliance &amp; Regulatory:</w:t>
      </w:r>
      <w:r>
        <w:t xml:space="preserve"> </w:t>
      </w:r>
      <w:r>
        <w:t xml:space="preserve">The supplier warrants that all equipment and materials comply with applicable United States federal regulations, including but not limited to those enforced by the U.S. Food and Drug Administration (FDA), the Occupational Safety and Health Administration (OSHA), and the Florida Department of Health. All equipment intended for use in human-subject research by the</w:t>
      </w:r>
      <w:r>
        <w:t xml:space="preserve"> </w:t>
      </w:r>
      <w:r>
        <w:t xml:space="preserve">Medical Researcher</w:t>
      </w:r>
      <w:r>
        <w:t xml:space="preserve"> </w:t>
      </w:r>
      <w:r>
        <w:t xml:space="preserve">must meet Institutional Review Board (IRB) standards.</w:t>
      </w:r>
    </w:p>
    <w:p>
      <w:pPr>
        <w:numPr>
          <w:ilvl w:val="0"/>
          <w:numId w:val="1001"/>
        </w:numPr>
        <w:pStyle w:val="Compact"/>
      </w:pPr>
      <w:r>
        <w:rPr>
          <w:bCs/>
          <w:b/>
        </w:rPr>
        <w:t xml:space="preserve">Confidentiality:</w:t>
      </w:r>
      <w:r>
        <w:t xml:space="preserve"> </w:t>
      </w:r>
      <w:r>
        <w:t xml:space="preserve">The supplier acknowledges that the</w:t>
      </w:r>
      <w:r>
        <w:t xml:space="preserve"> </w:t>
      </w:r>
      <w:r>
        <w:t xml:space="preserve">Medical Researcher</w:t>
      </w:r>
      <w:r>
        <w:t xml:space="preserve"> </w:t>
      </w:r>
      <w:r>
        <w:t xml:space="preserve">and the institute handle proprietary research data and human biological samples. The supplier and its personnel shall not disclose, access, or retain any confidential information encountered during installation, service, or delivery activities at the Miami facility.</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State of Florida, United States, and the federal laws of the United States applicable to commercial transactions in</w:t>
      </w:r>
      <w:r>
        <w:t xml:space="preserve"> </w:t>
      </w:r>
      <w:r>
        <w:t xml:space="preserve">United States Miami</w:t>
      </w:r>
      <w:r>
        <w:t xml:space="preserve">. Any disputes arising under this Purchase Order shall be resolved through binding arbitration in Miami-Dade County, Florida.</w:t>
      </w:r>
    </w:p>
    <w:p>
      <w:pPr>
        <w:numPr>
          <w:ilvl w:val="0"/>
          <w:numId w:val="1001"/>
        </w:numPr>
        <w:pStyle w:val="Compact"/>
      </w:pPr>
      <w:r>
        <w:rPr>
          <w:bCs/>
          <w:b/>
        </w:rPr>
        <w:t xml:space="preserve">Amendments:</w:t>
      </w:r>
      <w:r>
        <w:t xml:space="preserve"> </w:t>
      </w:r>
      <w:r>
        <w:t xml:space="preserve">No modification, amendment, or cancellation of this Purchase Order shall be valid unless made in writing and signed by authorized representatives of both parties. The</w:t>
      </w:r>
      <w:r>
        <w:t xml:space="preserve"> </w:t>
      </w:r>
      <w:r>
        <w:t xml:space="preserve">Medical Researcher</w:t>
      </w:r>
      <w:r>
        <w:t xml:space="preserve"> </w:t>
      </w:r>
      <w:r>
        <w:t xml:space="preserve">or the institute's procurement officer must approve any changes to scope, quantity, or delivery schedule.</w:t>
      </w:r>
    </w:p>
    <w:p>
      <w:pPr>
        <w:pStyle w:val="FirstParagraph"/>
      </w:pPr>
      <w:r>
        <w:t xml:space="preserve">AUTHORIZATION &amp; SIGNATURES</w:t>
      </w:r>
    </w:p>
    <w:p>
      <w:pPr>
        <w:pStyle w:val="BodyText"/>
      </w:pPr>
      <w:r>
        <w:rPr>
          <w:bCs/>
          <w:b/>
        </w:rPr>
        <w:t xml:space="preserve">For the Buyer (Atlantic Coast Medical Research Institute):</w:t>
      </w:r>
    </w:p>
    <w:p>
      <w:pPr>
        <w:pStyle w:val="BodyText"/>
      </w:pPr>
      <w:r>
        <w:t xml:space="preserve">Authorized Signatory: ___________________________</w:t>
      </w:r>
    </w:p>
    <w:p>
      <w:pPr>
        <w:pStyle w:val="BodyText"/>
      </w:pPr>
      <w:r>
        <w:t xml:space="preserve">Name: Dr. Marcus Thompson, Ph.D.</w:t>
      </w:r>
    </w:p>
    <w:p>
      <w:pPr>
        <w:pStyle w:val="BodyText"/>
      </w:pPr>
      <w:r>
        <w:t xml:space="preserve">Title: Director of Research Operations</w:t>
      </w:r>
    </w:p>
    <w:p>
      <w:pPr>
        <w:pStyle w:val="BodyText"/>
      </w:pPr>
      <w:r>
        <w:t xml:space="preserve">Date: ___________________________</w:t>
      </w:r>
    </w:p>
    <w:p>
      <w:pPr>
        <w:pStyle w:val="BodyText"/>
      </w:pPr>
      <w:r>
        <w:rPr>
          <w:bCs/>
          <w:b/>
        </w:rPr>
        <w:t xml:space="preserve">For the Seller (BioLab Scientific Supply Co., LLC):</w:t>
      </w:r>
    </w:p>
    <w:p>
      <w:pPr>
        <w:pStyle w:val="BodyText"/>
      </w:pPr>
      <w:r>
        <w:t xml:space="preserve">Authorized Signatory: ___________________________</w:t>
      </w:r>
    </w:p>
    <w:p>
      <w:pPr>
        <w:pStyle w:val="BodyText"/>
      </w:pPr>
      <w:r>
        <w:t xml:space="preserve">Name: Jonathan Reeves</w:t>
      </w:r>
    </w:p>
    <w:p>
      <w:pPr>
        <w:pStyle w:val="BodyText"/>
      </w:pPr>
      <w:r>
        <w:t xml:space="preserve">Title: Regional Sales Director, Southeast</w:t>
      </w:r>
    </w:p>
    <w:p>
      <w:pPr>
        <w:pStyle w:val="BodyText"/>
      </w:pPr>
      <w:r>
        <w:t xml:space="preserve">Date: ___________________________</w:t>
      </w:r>
    </w:p>
    <w:p>
      <w:pPr>
        <w:pStyle w:val="BodyText"/>
      </w:pPr>
      <w:r>
        <w:t xml:space="preserve">This Purchase Order document (PO-MR-2025-04187) was prepared for the procurement of laboratory resources supporting a</w:t>
      </w:r>
      <w:r>
        <w:t xml:space="preserve"> </w:t>
      </w:r>
      <w:r>
        <w:t xml:space="preserve">Medical Researcher</w:t>
      </w:r>
      <w:r>
        <w:t xml:space="preserve"> </w:t>
      </w:r>
      <w:r>
        <w:t xml:space="preserve">at the Atlantic Coast Medical Research Institute, Miami, Florida,</w:t>
      </w:r>
      <w:r>
        <w:t xml:space="preserve"> </w:t>
      </w:r>
      <w:r>
        <w:t xml:space="preserve">United States</w:t>
      </w:r>
      <w:r>
        <w:t xml:space="preserve">. This document is valid for a period of ninety (90) days from the date of issue. Unauthorized reproduction or distribution of this Purchase Order is prohibited. © 2025 Atlantic Coast Medical Research Institute.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United States Miami</dc:title>
  <dc:creator/>
  <dc:language>en</dc:language>
  <cp:keywords/>
  <dcterms:created xsi:type="dcterms:W3CDTF">2026-10-10T04:35:48Z</dcterms:created>
  <dcterms:modified xsi:type="dcterms:W3CDTF">2026-10-10T04:35:48Z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