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Formal Procurement Document for Medical Researcher Services and Equipment</w:t>
      </w:r>
    </w:p>
    <w:p>
      <w:pPr>
        <w:pStyle w:val="BodyText"/>
      </w:pPr>
      <w:r>
        <w:t xml:space="preserve">Jurisdiction: United States New York City | Governing Law: State of New York</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PO-NYC-MR-2025-04871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bookmarkEnd w:id="21"/>
    <w:bookmarkStart w:id="22" w:name="issuing-organization-buyer"/>
    <w:p>
      <w:pPr>
        <w:pStyle w:val="Heading3"/>
      </w:pPr>
      <w:r>
        <w:t xml:space="preserve">Issuing Organization (Buyer)</w:t>
      </w:r>
    </w:p>
    <w:p>
      <w:pPr>
        <w:pStyle w:val="FirstParagraph"/>
      </w:pPr>
      <w:r>
        <w:rPr>
          <w:bCs/>
          <w:b/>
        </w:rPr>
        <w:t xml:space="preserve">Name:</w:t>
      </w:r>
      <w:r>
        <w:t xml:space="preserve"> </w:t>
      </w:r>
      <w:r>
        <w:t xml:space="preserve">Metropolitan Biomedical Research Institute</w:t>
      </w:r>
    </w:p>
    <w:p>
      <w:pPr>
        <w:pStyle w:val="BodyText"/>
      </w:pPr>
      <w:r>
        <w:rPr>
          <w:bCs/>
          <w:b/>
        </w:rPr>
        <w:t xml:space="preserve">Address:</w:t>
      </w:r>
      <w:r>
        <w:t xml:space="preserve"> </w:t>
      </w:r>
      <w:r>
        <w:t xml:space="preserve">1420 Fifth Avenue, Suite 3200</w:t>
      </w:r>
    </w:p>
    <w:p>
      <w:pPr>
        <w:pStyle w:val="BodyText"/>
      </w:pPr>
      <w:r>
        <w:rPr>
          <w:bCs/>
          <w:b/>
        </w:rPr>
        <w:t xml:space="preserve">City, State, ZIP:</w:t>
      </w:r>
      <w:r>
        <w:t xml:space="preserve"> </w:t>
      </w:r>
      <w:r>
        <w:t xml:space="preserve">United States New York City, NY 10028</w:t>
      </w:r>
    </w:p>
    <w:p>
      <w:pPr>
        <w:pStyle w:val="BodyText"/>
      </w:pPr>
      <w:r>
        <w:rPr>
          <w:bCs/>
          <w:b/>
        </w:rPr>
        <w:t xml:space="preserve">Contact:</w:t>
      </w:r>
      <w:r>
        <w:t xml:space="preserve"> </w:t>
      </w:r>
      <w:r>
        <w:t xml:space="preserve">Dr. Eleanor Whitfield, Procurement Director</w:t>
      </w:r>
    </w:p>
    <w:p>
      <w:pPr>
        <w:pStyle w:val="BodyText"/>
      </w:pPr>
      <w:r>
        <w:rPr>
          <w:bCs/>
          <w:b/>
        </w:rPr>
        <w:t xml:space="preserve">Email:</w:t>
      </w:r>
      <w:r>
        <w:t xml:space="preserve"> </w:t>
      </w:r>
      <w:r>
        <w:t xml:space="preserve">procurement@metbiomed-ny.org</w:t>
      </w:r>
    </w:p>
    <w:bookmarkEnd w:id="22"/>
    <w:bookmarkStart w:id="23" w:name="supplier-service-provider-seller"/>
    <w:p>
      <w:pPr>
        <w:pStyle w:val="Heading3"/>
      </w:pPr>
      <w:r>
        <w:t xml:space="preserve">Supplier / Service Provider (Seller)</w:t>
      </w:r>
    </w:p>
    <w:p>
      <w:pPr>
        <w:pStyle w:val="FirstParagraph"/>
      </w:pPr>
      <w:r>
        <w:rPr>
          <w:bCs/>
          <w:b/>
        </w:rPr>
        <w:t xml:space="preserve">Name:</w:t>
      </w:r>
      <w:r>
        <w:t xml:space="preserve"> </w:t>
      </w:r>
      <w:r>
        <w:t xml:space="preserve">Advanced Clinical Research Solutions LLC</w:t>
      </w:r>
    </w:p>
    <w:p>
      <w:pPr>
        <w:pStyle w:val="BodyText"/>
      </w:pPr>
      <w:r>
        <w:rPr>
          <w:bCs/>
          <w:b/>
        </w:rPr>
        <w:t xml:space="preserve">Address:</w:t>
      </w:r>
      <w:r>
        <w:t xml:space="preserve"> </w:t>
      </w:r>
      <w:r>
        <w:t xml:space="preserve">887 Madison Avenue, Floor 12</w:t>
      </w:r>
    </w:p>
    <w:p>
      <w:pPr>
        <w:pStyle w:val="BodyText"/>
      </w:pPr>
      <w:r>
        <w:rPr>
          <w:bCs/>
          <w:b/>
        </w:rPr>
        <w:t xml:space="preserve">City, State, ZIP:</w:t>
      </w:r>
      <w:r>
        <w:t xml:space="preserve"> </w:t>
      </w:r>
      <w:r>
        <w:t xml:space="preserve">United States New York City, NY 10021</w:t>
      </w:r>
    </w:p>
    <w:p>
      <w:pPr>
        <w:pStyle w:val="BodyText"/>
      </w:pPr>
      <w:r>
        <w:rPr>
          <w:bCs/>
          <w:b/>
        </w:rPr>
        <w:t xml:space="preserve">Contact:</w:t>
      </w:r>
      <w:r>
        <w:t xml:space="preserve"> </w:t>
      </w:r>
      <w:r>
        <w:t xml:space="preserve">Mr. James Harrington, Account Manager</w:t>
      </w:r>
    </w:p>
    <w:p>
      <w:pPr>
        <w:pStyle w:val="BodyText"/>
      </w:pPr>
      <w:r>
        <w:rPr>
          <w:bCs/>
          <w:b/>
        </w:rPr>
        <w:t xml:space="preserve">Email:</w:t>
      </w:r>
      <w:r>
        <w:t xml:space="preserve"> </w:t>
      </w:r>
      <w:r>
        <w:t xml:space="preserve">j.harrington@aclrs-ny.com</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Phase III Clinical Trial – Oncology Biomarker Study</w:t>
      </w:r>
    </w:p>
    <w:p>
      <w:pPr>
        <w:pStyle w:val="BodyText"/>
      </w:pPr>
      <w:r>
        <w:rPr>
          <w:bCs/>
          <w:b/>
        </w:rPr>
        <w:t xml:space="preserve">IRB Approval No.:</w:t>
      </w:r>
      <w:r>
        <w:t xml:space="preserve"> </w:t>
      </w:r>
      <w:r>
        <w:t xml:space="preserve">NY-IRB-2025-00342</w:t>
      </w:r>
    </w:p>
    <w:p>
      <w:pPr>
        <w:pStyle w:val="BodyText"/>
      </w:pPr>
      <w:r>
        <w:rPr>
          <w:bCs/>
          <w:b/>
        </w:rPr>
        <w:t xml:space="preserve">Funding Source:</w:t>
      </w:r>
      <w:r>
        <w:t xml:space="preserve"> </w:t>
      </w:r>
      <w:r>
        <w:t xml:space="preserve">NIH Grant R01-CA-2025-1187</w:t>
      </w:r>
    </w:p>
    <w:p>
      <w:pPr>
        <w:pStyle w:val="BodyText"/>
      </w:pPr>
      <w:r>
        <w:rPr>
          <w:bCs/>
          <w:b/>
        </w:rPr>
        <w:t xml:space="preserve">Compliance:</w:t>
      </w:r>
      <w:r>
        <w:t xml:space="preserve"> </w:t>
      </w:r>
      <w:r>
        <w:t xml:space="preserve">HIPAA, FDA 21 CFR Part 11, NYC Health Code</w:t>
      </w:r>
    </w:p>
    <w:bookmarkEnd w:id="24"/>
    <w:p>
      <w:pPr>
        <w:pStyle w:val="BodyText"/>
      </w:pPr>
      <w:r>
        <w:t xml:space="preserve">Line Items – Medical Researcher Services and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Medical Researcher – Full-time engagement (12 months) for oncology biomarker analysis, data interpretation, and peer-reviewed publication support. The Medical Researcher shall operate primarily from the United States New York City laboratory facility at 1420 Fifth Avenue.</w:t>
            </w:r>
          </w:p>
        </w:tc>
        <w:tc>
          <w:tcPr/>
          <w:p>
            <w:pPr>
              <w:pStyle w:val="Compact"/>
              <w:jc w:val="left"/>
            </w:pPr>
            <w:r>
              <w:t xml:space="preserve">1 FTE</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002</w:t>
            </w:r>
          </w:p>
        </w:tc>
        <w:tc>
          <w:tcPr/>
          <w:p>
            <w:pPr>
              <w:pStyle w:val="Compact"/>
              <w:jc w:val="left"/>
            </w:pPr>
            <w:r>
              <w:t xml:space="preserve">Junior Medical Researcher – Part-time engagement (6 months) for sample processing, laboratory documentation, and preliminary statistical analysis under the supervision of the Senior Medical Researcher.</w:t>
            </w:r>
          </w:p>
        </w:tc>
        <w:tc>
          <w:tcPr/>
          <w:p>
            <w:pPr>
              <w:pStyle w:val="Compact"/>
              <w:jc w:val="left"/>
            </w:pPr>
            <w:r>
              <w:t xml:space="preserve">1 FTE</w:t>
            </w:r>
          </w:p>
        </w:tc>
        <w:tc>
          <w:tcPr/>
          <w:p>
            <w:pPr>
              <w:pStyle w:val="Compact"/>
              <w:jc w:val="left"/>
            </w:pPr>
            <w:r>
              <w:t xml:space="preserve">$72,500.00</w:t>
            </w:r>
          </w:p>
        </w:tc>
        <w:tc>
          <w:tcPr/>
          <w:p>
            <w:pPr>
              <w:pStyle w:val="Compact"/>
              <w:jc w:val="left"/>
            </w:pPr>
            <w:r>
              <w:t xml:space="preserve">$72,500.00</w:t>
            </w:r>
          </w:p>
        </w:tc>
      </w:tr>
      <w:tr>
        <w:tc>
          <w:tcPr/>
          <w:p>
            <w:pPr>
              <w:pStyle w:val="Compact"/>
              <w:jc w:val="left"/>
            </w:pPr>
            <w:r>
              <w:t xml:space="preserve">003</w:t>
            </w:r>
          </w:p>
        </w:tc>
        <w:tc>
          <w:tcPr/>
          <w:p>
            <w:pPr>
              <w:pStyle w:val="Compact"/>
              <w:jc w:val="left"/>
            </w:pPr>
            <w:r>
              <w:t xml:space="preserve">Specialized laboratory equipment: High-throughput flow cytometer (BD FACSymphony A5) with installation, calibration, and 12-month maintenance contract for the Medical Researcher team in United States New York City.</w:t>
            </w:r>
          </w:p>
        </w:tc>
        <w:tc>
          <w:tcPr/>
          <w:p>
            <w:pPr>
              <w:pStyle w:val="Compact"/>
              <w:jc w:val="left"/>
            </w:pPr>
            <w:r>
              <w:t xml:space="preserve">1 Unit</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004</w:t>
            </w:r>
          </w:p>
        </w:tc>
        <w:tc>
          <w:tcPr/>
          <w:p>
            <w:pPr>
              <w:pStyle w:val="Compact"/>
              <w:jc w:val="left"/>
            </w:pPr>
            <w:r>
              <w:t xml:space="preserve">Reagent and consumable supply package (annual) for the Medical Researcher laboratory operations, including PCR kits, cell culture media, antibody panels, and cryogenic storage materials compliant with NYC Department of Health and Mental Hygiene regulations.</w:t>
            </w:r>
          </w:p>
        </w:tc>
        <w:tc>
          <w:tcPr/>
          <w:p>
            <w:pPr>
              <w:pStyle w:val="Compact"/>
              <w:jc w:val="left"/>
            </w:pPr>
            <w:r>
              <w:t xml:space="preserve">12 Months</w:t>
            </w:r>
          </w:p>
        </w:tc>
        <w:tc>
          <w:tcPr/>
          <w:p>
            <w:pPr>
              <w:pStyle w:val="Compact"/>
              <w:jc w:val="left"/>
            </w:pPr>
            <w:r>
              <w:t xml:space="preserve">$98,400.00</w:t>
            </w:r>
          </w:p>
        </w:tc>
        <w:tc>
          <w:tcPr/>
          <w:p>
            <w:pPr>
              <w:pStyle w:val="Compact"/>
              <w:jc w:val="left"/>
            </w:pPr>
            <w:r>
              <w:t xml:space="preserve">$98,400.00</w:t>
            </w:r>
          </w:p>
        </w:tc>
      </w:tr>
      <w:tr>
        <w:tc>
          <w:tcPr/>
          <w:p>
            <w:pPr>
              <w:pStyle w:val="Compact"/>
              <w:jc w:val="left"/>
            </w:pPr>
            <w:r>
              <w:t xml:space="preserve">005</w:t>
            </w:r>
          </w:p>
        </w:tc>
        <w:tc>
          <w:tcPr/>
          <w:p>
            <w:pPr>
              <w:pStyle w:val="Compact"/>
              <w:jc w:val="left"/>
            </w:pPr>
            <w:r>
              <w:t xml:space="preserve">Biostatistical software license (SAS Enterprise + R Studio Pro) for the Medical Researcher data analysis workflow, including annual technical support and training sessions conducted in United States New York City.</w:t>
            </w:r>
          </w:p>
        </w:tc>
        <w:tc>
          <w:tcPr/>
          <w:p>
            <w:pPr>
              <w:pStyle w:val="Compact"/>
              <w:jc w:val="left"/>
            </w:pPr>
            <w:r>
              <w:t xml:space="preserve">5 Licenses</w:t>
            </w:r>
          </w:p>
        </w:tc>
        <w:tc>
          <w:tcPr/>
          <w:p>
            <w:pPr>
              <w:pStyle w:val="Compact"/>
              <w:jc w:val="left"/>
            </w:pPr>
            <w:r>
              <w:t xml:space="preserve">$34,750.00</w:t>
            </w:r>
          </w:p>
        </w:tc>
        <w:tc>
          <w:tcPr/>
          <w:p>
            <w:pPr>
              <w:pStyle w:val="Compact"/>
              <w:jc w:val="left"/>
            </w:pPr>
            <w:r>
              <w:t xml:space="preserve">$34,750.00</w:t>
            </w:r>
          </w:p>
        </w:tc>
      </w:tr>
      <w:tr>
        <w:tc>
          <w:tcPr/>
          <w:p>
            <w:pPr>
              <w:pStyle w:val="Compact"/>
              <w:jc w:val="left"/>
            </w:pPr>
            <w:r>
              <w:t xml:space="preserve">006</w:t>
            </w:r>
          </w:p>
        </w:tc>
        <w:tc>
          <w:tcPr/>
          <w:p>
            <w:pPr>
              <w:pStyle w:val="Compact"/>
              <w:jc w:val="left"/>
            </w:pPr>
            <w:r>
              <w:t xml:space="preserve">Regulatory compliance and ethics board consultation services for the Medical Researcher project, including IRB submission preparation, FDA IND amendment support, and NYC-specific health department reporting.</w:t>
            </w:r>
          </w:p>
        </w:tc>
        <w:tc>
          <w:tcPr/>
          <w:p>
            <w:pPr>
              <w:pStyle w:val="Compact"/>
              <w:jc w:val="left"/>
            </w:pPr>
            <w:r>
              <w:t xml:space="preserve">1 Contract</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right"/>
            </w:pPr>
            <w:r>
              <w:t xml:space="preserve">SUBTOTAL</w:t>
            </w:r>
          </w:p>
        </w:tc>
        <w:tc>
          <w:tcPr/>
          <w:p>
            <w:pPr>
              <w:pStyle w:val="Compact"/>
              <w:jc w:val="left"/>
            </w:pPr>
            <w:r>
              <w:t xml:space="preserve">$678,650.00</w:t>
            </w:r>
          </w:p>
        </w:tc>
      </w:tr>
      <w:tr>
        <w:tc>
          <w:tcPr>
            <w:gridSpan w:val="4"/>
          </w:tcPr>
          <w:p>
            <w:pPr>
              <w:pStyle w:val="Compact"/>
              <w:jc w:val="right"/>
            </w:pPr>
            <w:r>
              <w:t xml:space="preserve">New York City Sales Tax (8.875%)</w:t>
            </w:r>
          </w:p>
        </w:tc>
        <w:tc>
          <w:tcPr/>
          <w:p>
            <w:pPr>
              <w:pStyle w:val="Compact"/>
              <w:jc w:val="left"/>
            </w:pPr>
            <w:r>
              <w:t xml:space="preserve">$60,230.39</w:t>
            </w:r>
          </w:p>
        </w:tc>
      </w:tr>
      <w:tr>
        <w:tc>
          <w:tcPr>
            <w:gridSpan w:val="4"/>
          </w:tcPr>
          <w:p>
            <w:pPr>
              <w:pStyle w:val="Compact"/>
              <w:jc w:val="right"/>
            </w:pPr>
            <w:r>
              <w:t xml:space="preserve">New York State Sales Tax (4%)</w:t>
            </w:r>
          </w:p>
        </w:tc>
        <w:tc>
          <w:tcPr/>
          <w:p>
            <w:pPr>
              <w:pStyle w:val="Compact"/>
              <w:jc w:val="left"/>
            </w:pPr>
            <w:r>
              <w:t xml:space="preserve">$27,146.00</w:t>
            </w:r>
          </w:p>
        </w:tc>
      </w:tr>
      <w:tr>
        <w:tc>
          <w:tcPr>
            <w:gridSpan w:val="4"/>
          </w:tcPr>
          <w:p>
            <w:pPr>
              <w:pStyle w:val="Compact"/>
              <w:jc w:val="right"/>
            </w:pPr>
            <w:r>
              <w:rPr>
                <w:bCs/>
                <w:b/>
              </w:rPr>
              <w:t xml:space="preserve">PURCHASE ORDER TOTAL</w:t>
            </w:r>
          </w:p>
        </w:tc>
        <w:tc>
          <w:tcPr/>
          <w:p>
            <w:pPr>
              <w:pStyle w:val="Compact"/>
              <w:jc w:val="left"/>
            </w:pPr>
            <w:r>
              <w:rPr>
                <w:bCs/>
                <w:b/>
              </w:rPr>
              <w:t xml:space="preserve">$766,026.39</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engagement of qualified Medical Researcher personnel and the procurement of associated equipment and services exclusively for the oncology biomarker study referenced above. All Medical Researcher activities shall be conducted in compliance with institutional protocols established by the Metropolitan Biomedical Research Institute in United States New York City.</w:t>
      </w:r>
    </w:p>
    <w:p>
      <w:pPr>
        <w:numPr>
          <w:ilvl w:val="0"/>
          <w:numId w:val="1001"/>
        </w:numPr>
        <w:pStyle w:val="Compact"/>
      </w:pPr>
      <w:r>
        <w:rPr>
          <w:bCs/>
          <w:b/>
        </w:rPr>
        <w:t xml:space="preserve">Compliance and Regulation:</w:t>
      </w:r>
      <w:r>
        <w:t xml:space="preserve"> </w:t>
      </w:r>
      <w:r>
        <w:t xml:space="preserve">The Medical Researcher and all subcontracted personnel must adhere to all applicable federal, state, and municipal regulations, including but not limited to HIPAA privacy standards, FDA Good Clinical Practice (GCP) guidelines, and the New York City Health Code. The supplier warrants that all equipment delivered to the United States New York City facility meets or exceeds current FDA 510(k) clearance requirements.</w:t>
      </w:r>
    </w:p>
    <w:p>
      <w:pPr>
        <w:numPr>
          <w:ilvl w:val="0"/>
          <w:numId w:val="1001"/>
        </w:numPr>
        <w:pStyle w:val="Compact"/>
      </w:pPr>
      <w:r>
        <w:rPr>
          <w:bCs/>
          <w:b/>
        </w:rPr>
        <w:t xml:space="preserve">Delivery and Installation:</w:t>
      </w:r>
      <w:r>
        <w:t xml:space="preserve"> </w:t>
      </w:r>
      <w:r>
        <w:t xml:space="preserve">All equipment items shall be delivered to the buyer's facility at 1420 Fifth Avenue, United States New York City, NY 10028, no later than July 15, 2025. Installation and calibration must be completed within five (5) business days of delivery. The Medical Researcher team shall be available for operational training within ten (10) business days of installation.</w:t>
      </w:r>
    </w:p>
    <w:p>
      <w:pPr>
        <w:numPr>
          <w:ilvl w:val="0"/>
          <w:numId w:val="1001"/>
        </w:numPr>
        <w:pStyle w:val="Compact"/>
      </w:pPr>
      <w:r>
        <w:rPr>
          <w:bCs/>
          <w:b/>
        </w:rPr>
        <w:t xml:space="preserve">Payment Schedule:</w:t>
      </w:r>
      <w:r>
        <w:t xml:space="preserve"> </w:t>
      </w:r>
      <w:r>
        <w:t xml:space="preserve">Payment shall be made in accordance with the Net 30 terms specified above. An initial deposit of twenty-five percent (25%) of the Purchase Order total is due upon execution. The remaining balance shall be invoiced in quarterly installments aligned with the Medical Researcher project milestones. All payments shall be processed via wire transfer to the supplier's designated account in United States New York City.</w:t>
      </w:r>
    </w:p>
    <w:p>
      <w:pPr>
        <w:numPr>
          <w:ilvl w:val="0"/>
          <w:numId w:val="1001"/>
        </w:numPr>
        <w:pStyle w:val="Compact"/>
      </w:pPr>
      <w:r>
        <w:rPr>
          <w:bCs/>
          <w:b/>
        </w:rPr>
        <w:t xml:space="preserve">Confidentiality and Data Protection:</w:t>
      </w:r>
      <w:r>
        <w:t xml:space="preserve"> </w:t>
      </w:r>
      <w:r>
        <w:t xml:space="preserve">All data generated by the Medical Researcher during the course of this engagement is classified as proprietary and protected under the buyer's intellectual property policies. The supplier and the Medical Researcher personnel shall execute a separate Non-Disclosure Agreement (NDA) prior to commencing work. Data storage and transmission must comply with NYC local data residency requirements.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deliver all completed work products, raw data, and laboratory records to the buyer's Medical Researcher team in United States New York City within fifteen (15) days of the termination effective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United States. Any disputes arising from this document shall be resolved through binding arbitration in United States New York City in accordance with the rules of the American Arbitration Association.</w:t>
      </w:r>
    </w:p>
    <w:p>
      <w:pPr>
        <w:numPr>
          <w:ilvl w:val="0"/>
          <w:numId w:val="1001"/>
        </w:numPr>
        <w:pStyle w:val="Compact"/>
      </w:pPr>
      <w:r>
        <w:rPr>
          <w:bCs/>
          <w:b/>
        </w:rPr>
        <w:t xml:space="preserve">Insurance:</w:t>
      </w:r>
      <w:r>
        <w:t xml:space="preserve"> </w:t>
      </w:r>
      <w:r>
        <w:t xml:space="preserve">The supplier shall maintain comprehensive general liability insurance with a minimum coverage of $2,000,000 per occurrence and professional liability (malpractice) insurance of $5,000,000, naming the buyer as an additional insured. Certificates of insurance shall be provided prior to the Medical Researcher commencing on-site work in United States New York City.</w:t>
      </w:r>
    </w:p>
    <w:p>
      <w:pPr>
        <w:pStyle w:val="FirstParagraph"/>
      </w:pPr>
      <w:r>
        <w:t xml:space="preserve">Authorization and Signatures</w:t>
      </w:r>
    </w:p>
    <w:p>
      <w:pPr>
        <w:pStyle w:val="BodyText"/>
      </w:pPr>
      <w:r>
        <w:rPr>
          <w:bCs/>
          <w:b/>
        </w:rPr>
        <w:t xml:space="preserve">Authorized Buyer Representative</w:t>
      </w:r>
    </w:p>
    <w:p>
      <w:pPr>
        <w:pStyle w:val="BodyText"/>
      </w:pPr>
      <w:r>
        <w:t xml:space="preserve">Dr. Eleanor Whitfield, Procurement Director</w:t>
      </w:r>
    </w:p>
    <w:p>
      <w:pPr>
        <w:pStyle w:val="BodyText"/>
      </w:pPr>
      <w:r>
        <w:t xml:space="preserve">Metropolitan Biomedical Research Institute</w:t>
      </w:r>
    </w:p>
    <w:p>
      <w:pPr>
        <w:pStyle w:val="BodyText"/>
      </w:pPr>
      <w:r>
        <w:t xml:space="preserve">United States New York City, NY 10028</w:t>
      </w:r>
    </w:p>
    <w:p>
      <w:pPr>
        <w:pStyle w:val="BodyText"/>
      </w:pPr>
      <w:r>
        <w:t xml:space="preserve">Date: ______________________</w:t>
      </w:r>
    </w:p>
    <w:p>
      <w:pPr>
        <w:pStyle w:val="BodyText"/>
      </w:pPr>
      <w:r>
        <w:rPr>
          <w:bCs/>
          <w:b/>
        </w:rPr>
        <w:t xml:space="preserve">Authorized Supplier Representative</w:t>
      </w:r>
    </w:p>
    <w:p>
      <w:pPr>
        <w:pStyle w:val="BodyText"/>
      </w:pPr>
      <w:r>
        <w:t xml:space="preserve">Mr. James Harrington, Account Manager</w:t>
      </w:r>
    </w:p>
    <w:p>
      <w:pPr>
        <w:pStyle w:val="BodyText"/>
      </w:pPr>
      <w:r>
        <w:t xml:space="preserve">Advanced Clinical Research Solutions LLC</w:t>
      </w:r>
    </w:p>
    <w:p>
      <w:pPr>
        <w:pStyle w:val="BodyText"/>
      </w:pPr>
      <w:r>
        <w:t xml:space="preserve">United States New York City, NY 10021</w:t>
      </w:r>
    </w:p>
    <w:p>
      <w:pPr>
        <w:pStyle w:val="BodyText"/>
      </w:pPr>
      <w:r>
        <w:t xml:space="preserve">Date: ______________________</w:t>
      </w:r>
    </w:p>
    <w:p>
      <w:pPr>
        <w:pStyle w:val="BodyText"/>
      </w:pPr>
      <w:r>
        <w:t xml:space="preserve">This Purchase Order (PO-NYC-MR-2025-04871) is a legally binding document issued by the Metropolitan Biomedical Research Institute for the procurement of Medical Researcher services and equipment in United States New York City. This document is valid for a period of ninety (90) days from the date of issue. Unauthorized reproduction or distribution is prohibited. Document Version 1.0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States New York City</dc:title>
  <dc:creator/>
  <dc:language>en</dc:language>
  <cp:keywords/>
  <dcterms:created xsi:type="dcterms:W3CDTF">2026-10-10T02:46:25Z</dcterms:created>
  <dcterms:modified xsi:type="dcterms:W3CDTF">2026-10-10T02:46:25Z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