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2"/>
      </w:pPr>
      <w:r>
        <w:t xml:space="preserve">PURCHASE ORDER</w:t>
      </w:r>
    </w:p>
    <w:p>
      <w:pPr>
        <w:pStyle w:val="FirstParagraph"/>
      </w:pPr>
      <w:r>
        <w:t xml:space="preserve">PO No.: SF-MR-2025-04872</w:t>
      </w:r>
    </w:p>
    <w:p>
      <w:pPr>
        <w:pStyle w:val="BodyText"/>
      </w:pPr>
      <w:r>
        <w:t xml:space="preserve">Date Issued: June 12, 2025</w:t>
      </w:r>
    </w:p>
    <w:p>
      <w:pPr>
        <w:pStyle w:val="BodyText"/>
      </w:pPr>
      <w:r>
        <w:t xml:space="preserve">Valid Until: July 12, 2025</w:t>
      </w:r>
    </w:p>
    <w:bookmarkEnd w:id="20"/>
    <w:bookmarkStart w:id="21" w:name="Xbc43e5c23b24ac5c39de63e1fee8bd0e8312730"/>
    <w:p>
      <w:pPr>
        <w:pStyle w:val="Heading1"/>
      </w:pPr>
      <w:r>
        <w:t xml:space="preserve">Bay Area Institute for Advanced Medical Sciences</w:t>
      </w:r>
    </w:p>
    <w:p>
      <w:pPr>
        <w:pStyle w:val="FirstParagraph"/>
      </w:pPr>
      <w:r>
        <w:t xml:space="preserve">1450 Research Parkway, Suite 700, United States San Francisco, CA 94103</w:t>
      </w:r>
    </w:p>
    <w:p>
      <w:pPr>
        <w:pStyle w:val="BodyText"/>
      </w:pPr>
      <w:r>
        <w:t xml:space="preserve">Phone: (415) 555-0192  |  Email: procurement@baams.org  |  Tax ID: 94-2837461</w:t>
      </w:r>
    </w:p>
    <w:bookmarkEnd w:id="21"/>
    <w:bookmarkStart w:id="22" w:name="buyer-information"/>
    <w:p>
      <w:pPr>
        <w:pStyle w:val="Heading3"/>
      </w:pPr>
      <w:r>
        <w:t xml:space="preserve">1. Buyer Information</w:t>
      </w:r>
    </w:p>
    <w:p>
      <w:pPr>
        <w:pStyle w:val="FirstParagraph"/>
      </w:pPr>
      <w:r>
        <w:rPr>
          <w:bCs/>
          <w:b/>
        </w:rPr>
        <w:t xml:space="preserve">Institution:</w:t>
      </w:r>
      <w:r>
        <w:t xml:space="preserve"> </w:t>
      </w:r>
      <w:r>
        <w:t xml:space="preserve">Bay Area Institute for Advanced Medical Sciences</w:t>
      </w:r>
    </w:p>
    <w:p>
      <w:pPr>
        <w:pStyle w:val="BodyText"/>
      </w:pPr>
      <w:r>
        <w:rPr>
          <w:bCs/>
          <w:b/>
        </w:rPr>
        <w:t xml:space="preserve">Department:</w:t>
      </w:r>
      <w:r>
        <w:t xml:space="preserve"> </w:t>
      </w:r>
      <w:r>
        <w:t xml:space="preserve">Department of Translational Medicine</w:t>
      </w:r>
    </w:p>
    <w:p>
      <w:pPr>
        <w:pStyle w:val="BodyText"/>
      </w:pPr>
      <w:r>
        <w:rPr>
          <w:bCs/>
          <w:b/>
        </w:rPr>
        <w:t xml:space="preserve">Principal Investigator:</w:t>
      </w:r>
      <w:r>
        <w:t xml:space="preserve"> </w:t>
      </w:r>
      <w:r>
        <w:t xml:space="preserve">Dr. Elena Vasquez, PhD, MD</w:t>
      </w:r>
    </w:p>
    <w:p>
      <w:pPr>
        <w:pStyle w:val="BodyText"/>
      </w:pPr>
      <w:r>
        <w:rPr>
          <w:bCs/>
          <w:b/>
        </w:rPr>
        <w:t xml:space="preserve">Role:</w:t>
      </w:r>
      <w:r>
        <w:t xml:space="preserve"> </w:t>
      </w:r>
      <w:r>
        <w:t xml:space="preserve">Senior Medical Researcher</w:t>
      </w:r>
    </w:p>
    <w:p>
      <w:pPr>
        <w:pStyle w:val="BodyText"/>
      </w:pPr>
      <w:r>
        <w:rPr>
          <w:bCs/>
          <w:b/>
        </w:rPr>
        <w:t xml:space="preserve">Address:</w:t>
      </w:r>
      <w:r>
        <w:t xml:space="preserve"> </w:t>
      </w:r>
      <w:r>
        <w:t xml:space="preserve">1450 Research Parkway, Suite 700, United States San Francisco, CA 94103</w:t>
      </w:r>
    </w:p>
    <w:p>
      <w:pPr>
        <w:pStyle w:val="BodyText"/>
      </w:pPr>
      <w:r>
        <w:rPr>
          <w:bCs/>
          <w:b/>
        </w:rPr>
        <w:t xml:space="preserve">Project Title:</w:t>
      </w:r>
      <w:r>
        <w:t xml:space="preserve"> </w:t>
      </w:r>
      <w:r>
        <w:t xml:space="preserve">"Neurodegenerative Pathway Analysis in Early-Stage Alzheimer's Disease"</w:t>
      </w:r>
    </w:p>
    <w:p>
      <w:pPr>
        <w:pStyle w:val="BodyText"/>
      </w:pPr>
      <w:r>
        <w:rPr>
          <w:bCs/>
          <w:b/>
        </w:rPr>
        <w:t xml:space="preserve">Grant Reference:</w:t>
      </w:r>
      <w:r>
        <w:t xml:space="preserve"> </w:t>
      </w:r>
      <w:r>
        <w:t xml:space="preserve">NIH-R01-NS-2025-4471</w:t>
      </w:r>
    </w:p>
    <w:p>
      <w:pPr>
        <w:pStyle w:val="BodyText"/>
      </w:pPr>
      <w:r>
        <w:rPr>
          <w:bCs/>
          <w:b/>
        </w:rPr>
        <w:t xml:space="preserve">Funding Source:</w:t>
      </w:r>
      <w:r>
        <w:t xml:space="preserve"> </w:t>
      </w:r>
      <w:r>
        <w:t xml:space="preserve">National Institutes of Health, Bethesda, MD</w:t>
      </w:r>
    </w:p>
    <w:p>
      <w:pPr>
        <w:pStyle w:val="BodyText"/>
      </w:pPr>
      <w:r>
        <w:rPr>
          <w:bCs/>
          <w:b/>
        </w:rPr>
        <w:t xml:space="preserve">PO Authorized By:</w:t>
      </w:r>
      <w:r>
        <w:t xml:space="preserve"> </w:t>
      </w:r>
      <w:r>
        <w:t xml:space="preserve">Dr. Marcus Chen, Director of Procurement</w:t>
      </w:r>
    </w:p>
    <w:bookmarkEnd w:id="22"/>
    <w:bookmarkStart w:id="23" w:name="supplier-information"/>
    <w:p>
      <w:pPr>
        <w:pStyle w:val="Heading3"/>
      </w:pPr>
      <w:r>
        <w:t xml:space="preserve">2. Supplier Information</w:t>
      </w:r>
    </w:p>
    <w:p>
      <w:pPr>
        <w:pStyle w:val="FirstParagraph"/>
      </w:pPr>
      <w:r>
        <w:rPr>
          <w:bCs/>
          <w:b/>
        </w:rPr>
        <w:t xml:space="preserve">Supplier Name:</w:t>
      </w:r>
      <w:r>
        <w:t xml:space="preserve"> </w:t>
      </w:r>
      <w:r>
        <w:t xml:space="preserve">Pacific Scientific Instruments, Inc.</w:t>
      </w:r>
    </w:p>
    <w:p>
      <w:pPr>
        <w:pStyle w:val="BodyText"/>
      </w:pPr>
      <w:r>
        <w:rPr>
          <w:bCs/>
          <w:b/>
        </w:rPr>
        <w:t xml:space="preserve">Address:</w:t>
      </w:r>
      <w:r>
        <w:t xml:space="preserve"> </w:t>
      </w:r>
      <w:r>
        <w:t xml:space="preserve">2200 Industrial Way, Oakland, United States San Francisco Bay Area, CA 94607</w:t>
      </w:r>
    </w:p>
    <w:p>
      <w:pPr>
        <w:pStyle w:val="BodyText"/>
      </w:pPr>
      <w:r>
        <w:rPr>
          <w:bCs/>
          <w:b/>
        </w:rPr>
        <w:t xml:space="preserve">Contact Person:</w:t>
      </w:r>
      <w:r>
        <w:t xml:space="preserve"> </w:t>
      </w:r>
      <w:r>
        <w:t xml:space="preserve">Mr. David Okafor, Sales Director</w:t>
      </w:r>
    </w:p>
    <w:p>
      <w:pPr>
        <w:pStyle w:val="BodyText"/>
      </w:pPr>
      <w:r>
        <w:rPr>
          <w:bCs/>
          <w:b/>
        </w:rPr>
        <w:t xml:space="preserve">Phone:</w:t>
      </w:r>
      <w:r>
        <w:t xml:space="preserve"> </w:t>
      </w:r>
      <w:r>
        <w:t xml:space="preserve">(510) 555-7734</w:t>
      </w:r>
    </w:p>
    <w:p>
      <w:pPr>
        <w:pStyle w:val="BodyText"/>
      </w:pPr>
      <w:r>
        <w:rPr>
          <w:bCs/>
          <w:b/>
        </w:rPr>
        <w:t xml:space="preserve">Email:</w:t>
      </w:r>
      <w:r>
        <w:t xml:space="preserve"> </w:t>
      </w:r>
      <w:r>
        <w:t xml:space="preserve">sales@pacificsci.com</w:t>
      </w:r>
    </w:p>
    <w:p>
      <w:pPr>
        <w:pStyle w:val="BodyText"/>
      </w:pPr>
      <w:r>
        <w:rPr>
          <w:bCs/>
          <w:b/>
        </w:rPr>
        <w:t xml:space="preserve">Supplier Tax ID:</w:t>
      </w:r>
      <w:r>
        <w:t xml:space="preserve"> </w:t>
      </w:r>
      <w:r>
        <w:t xml:space="preserve">95-1128347</w:t>
      </w:r>
    </w:p>
    <w:p>
      <w:pPr>
        <w:pStyle w:val="BodyText"/>
      </w:pPr>
      <w:r>
        <w:rPr>
          <w:bCs/>
          <w:b/>
        </w:rPr>
        <w:t xml:space="preserve">Payment Terms:</w:t>
      </w:r>
      <w:r>
        <w:t xml:space="preserve"> </w:t>
      </w:r>
      <w:r>
        <w:t xml:space="preserve">Net 30 Days from Invoice Date</w:t>
      </w:r>
    </w:p>
    <w:p>
      <w:pPr>
        <w:pStyle w:val="BodyText"/>
      </w:pPr>
      <w:r>
        <w:rPr>
          <w:bCs/>
          <w:b/>
        </w:rPr>
        <w:t xml:space="preserve">Shipping Method:</w:t>
      </w:r>
      <w:r>
        <w:t xml:space="preserve"> </w:t>
      </w:r>
      <w:r>
        <w:t xml:space="preserve">Insured Freight, White-Glove Delivery</w:t>
      </w:r>
    </w:p>
    <w:p>
      <w:pPr>
        <w:pStyle w:val="BodyText"/>
      </w:pPr>
      <w:r>
        <w:rPr>
          <w:bCs/>
          <w:b/>
        </w:rPr>
        <w:t xml:space="preserve">Delivery Address:</w:t>
      </w:r>
      <w:r>
        <w:t xml:space="preserve"> </w:t>
      </w:r>
      <w:r>
        <w:t xml:space="preserve">1450 Research Parkway, Loading Dock B, United States San Francisco, CA 94103</w:t>
      </w:r>
    </w:p>
    <w:p>
      <w:pPr>
        <w:pStyle w:val="BodyText"/>
      </w:pPr>
      <w:r>
        <w:rPr>
          <w:bCs/>
          <w:b/>
        </w:rPr>
        <w:t xml:space="preserve">Delivery Window:</w:t>
      </w:r>
      <w:r>
        <w:t xml:space="preserve"> </w:t>
      </w:r>
      <w:r>
        <w:t xml:space="preserve">June 25 – July 5, 2025</w:t>
      </w:r>
    </w:p>
    <w:bookmarkEnd w:id="23"/>
    <w:bookmarkStart w:id="24" w:name="X962248d07601b93b812338397cd8176f0975006"/>
    <w:p>
      <w:pPr>
        <w:pStyle w:val="Heading3"/>
      </w:pPr>
      <w:r>
        <w:t xml:space="preserve">3. Line Items – Equipment and Supplies for Medical Researcher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High-Resolution Confocal Microscope, Model CF-9200, with fluorescence imaging module for cellular-level neurodegenerative tissue analysis</w:t>
            </w:r>
          </w:p>
        </w:tc>
        <w:tc>
          <w:tcPr/>
          <w:p>
            <w:pPr>
              <w:pStyle w:val="Compact"/>
              <w:jc w:val="left"/>
            </w:pPr>
            <w:r>
              <w:t xml:space="preserve">1</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002</w:t>
            </w:r>
          </w:p>
        </w:tc>
        <w:tc>
          <w:tcPr/>
          <w:p>
            <w:pPr>
              <w:pStyle w:val="Compact"/>
              <w:jc w:val="left"/>
            </w:pPr>
            <w:r>
              <w:t xml:space="preserve">Automated Liquid Handling Station, 96/384-well plate compatible, for high-throughput biomarker screening in cerebrospinal fluid samples</w:t>
            </w:r>
          </w:p>
        </w:tc>
        <w:tc>
          <w:tcPr/>
          <w:p>
            <w:pPr>
              <w:pStyle w:val="Compact"/>
              <w:jc w:val="left"/>
            </w:pPr>
            <w:r>
              <w:t xml:space="preserve">2</w:t>
            </w:r>
          </w:p>
        </w:tc>
        <w:tc>
          <w:tcPr/>
          <w:p>
            <w:pPr>
              <w:pStyle w:val="Compact"/>
              <w:jc w:val="left"/>
            </w:pPr>
            <w:r>
              <w:t xml:space="preserve">$42,300.00</w:t>
            </w:r>
          </w:p>
        </w:tc>
        <w:tc>
          <w:tcPr/>
          <w:p>
            <w:pPr>
              <w:pStyle w:val="Compact"/>
              <w:jc w:val="left"/>
            </w:pPr>
            <w:r>
              <w:t xml:space="preserve">$84,600.00</w:t>
            </w:r>
          </w:p>
        </w:tc>
      </w:tr>
      <w:tr>
        <w:tc>
          <w:tcPr/>
          <w:p>
            <w:pPr>
              <w:pStyle w:val="Compact"/>
              <w:jc w:val="left"/>
            </w:pPr>
            <w:r>
              <w:t xml:space="preserve">003</w:t>
            </w:r>
          </w:p>
        </w:tc>
        <w:tc>
          <w:tcPr/>
          <w:p>
            <w:pPr>
              <w:pStyle w:val="Compact"/>
              <w:jc w:val="left"/>
            </w:pPr>
            <w:r>
              <w:t xml:space="preserve">Ultra-Low Temperature Freezer, -80°C, 400L capacity, for long-term storage of neural tissue specimens and biological reagents</w:t>
            </w:r>
          </w:p>
        </w:tc>
        <w:tc>
          <w:tcPr/>
          <w:p>
            <w:pPr>
              <w:pStyle w:val="Compact"/>
              <w:jc w:val="left"/>
            </w:pPr>
            <w:r>
              <w:t xml:space="preserve">1</w:t>
            </w:r>
          </w:p>
        </w:tc>
        <w:tc>
          <w:tcPr/>
          <w:p>
            <w:pPr>
              <w:pStyle w:val="Compact"/>
              <w:jc w:val="left"/>
            </w:pPr>
            <w:r>
              <w:t xml:space="preserve">$28,900.00</w:t>
            </w:r>
          </w:p>
        </w:tc>
        <w:tc>
          <w:tcPr/>
          <w:p>
            <w:pPr>
              <w:pStyle w:val="Compact"/>
              <w:jc w:val="left"/>
            </w:pPr>
            <w:r>
              <w:t xml:space="preserve">$28,900.00</w:t>
            </w:r>
          </w:p>
        </w:tc>
      </w:tr>
      <w:tr>
        <w:tc>
          <w:tcPr/>
          <w:p>
            <w:pPr>
              <w:pStyle w:val="Compact"/>
              <w:jc w:val="left"/>
            </w:pPr>
            <w:r>
              <w:t xml:space="preserve">004</w:t>
            </w:r>
          </w:p>
        </w:tc>
        <w:tc>
          <w:tcPr/>
          <w:p>
            <w:pPr>
              <w:pStyle w:val="Compact"/>
              <w:jc w:val="left"/>
            </w:pPr>
            <w:r>
              <w:t xml:space="preserve">Real-Time PCR Thermal Cycler, 96-well, with quantitative analysis software license (5-year), for gene expression profiling in Alzheimer's research</w:t>
            </w:r>
          </w:p>
        </w:tc>
        <w:tc>
          <w:tcPr/>
          <w:p>
            <w:pPr>
              <w:pStyle w:val="Compact"/>
              <w:jc w:val="left"/>
            </w:pPr>
            <w:r>
              <w:t xml:space="preserve">1</w:t>
            </w:r>
          </w:p>
        </w:tc>
        <w:tc>
          <w:tcPr/>
          <w:p>
            <w:pPr>
              <w:pStyle w:val="Compact"/>
              <w:jc w:val="left"/>
            </w:pPr>
            <w:r>
              <w:t xml:space="preserve">$36,750.00</w:t>
            </w:r>
          </w:p>
        </w:tc>
        <w:tc>
          <w:tcPr/>
          <w:p>
            <w:pPr>
              <w:pStyle w:val="Compact"/>
              <w:jc w:val="left"/>
            </w:pPr>
            <w:r>
              <w:t xml:space="preserve">$36,750.00</w:t>
            </w:r>
          </w:p>
        </w:tc>
      </w:tr>
      <w:tr>
        <w:tc>
          <w:tcPr/>
          <w:p>
            <w:pPr>
              <w:pStyle w:val="Compact"/>
              <w:jc w:val="left"/>
            </w:pPr>
            <w:r>
              <w:t xml:space="preserve">005</w:t>
            </w:r>
          </w:p>
        </w:tc>
        <w:tc>
          <w:tcPr/>
          <w:p>
            <w:pPr>
              <w:pStyle w:val="Compact"/>
              <w:jc w:val="left"/>
            </w:pPr>
            <w:r>
              <w:t xml:space="preserve">Cell Culture Incubator, CO₂-controlled, 37°C, with HEPA filtration, for in-vitro neuronal cell line maintenance</w:t>
            </w:r>
          </w:p>
        </w:tc>
        <w:tc>
          <w:tcPr/>
          <w:p>
            <w:pPr>
              <w:pStyle w:val="Compact"/>
              <w:jc w:val="left"/>
            </w:pPr>
            <w:r>
              <w:t xml:space="preserve">3</w:t>
            </w:r>
          </w:p>
        </w:tc>
        <w:tc>
          <w:tcPr/>
          <w:p>
            <w:pPr>
              <w:pStyle w:val="Compact"/>
              <w:jc w:val="left"/>
            </w:pPr>
            <w:r>
              <w:t xml:space="preserve">$12,400.00</w:t>
            </w:r>
          </w:p>
        </w:tc>
        <w:tc>
          <w:tcPr/>
          <w:p>
            <w:pPr>
              <w:pStyle w:val="Compact"/>
              <w:jc w:val="left"/>
            </w:pPr>
            <w:r>
              <w:t xml:space="preserve">$37,200.00</w:t>
            </w:r>
          </w:p>
        </w:tc>
      </w:tr>
      <w:tr>
        <w:tc>
          <w:tcPr/>
          <w:p>
            <w:pPr>
              <w:pStyle w:val="Compact"/>
              <w:jc w:val="left"/>
            </w:pPr>
            <w:r>
              <w:t xml:space="preserve">006</w:t>
            </w:r>
          </w:p>
        </w:tc>
        <w:tc>
          <w:tcPr/>
          <w:p>
            <w:pPr>
              <w:pStyle w:val="Compact"/>
              <w:jc w:val="left"/>
            </w:pPr>
            <w:r>
              <w:t xml:space="preserve">Biological Safety Cabinet, Class II Type A2, for handling of human neural tissue and infectious agents in the Medical Researcher's laboratory</w:t>
            </w:r>
          </w:p>
        </w:tc>
        <w:tc>
          <w:tcPr/>
          <w:p>
            <w:pPr>
              <w:pStyle w:val="Compact"/>
              <w:jc w:val="left"/>
            </w:pPr>
            <w:r>
              <w:t xml:space="preserve">2</w:t>
            </w:r>
          </w:p>
        </w:tc>
        <w:tc>
          <w:tcPr/>
          <w:p>
            <w:pPr>
              <w:pStyle w:val="Compact"/>
              <w:jc w:val="left"/>
            </w:pPr>
            <w:r>
              <w:t xml:space="preserve">$18,600.00</w:t>
            </w:r>
          </w:p>
        </w:tc>
        <w:tc>
          <w:tcPr/>
          <w:p>
            <w:pPr>
              <w:pStyle w:val="Compact"/>
              <w:jc w:val="left"/>
            </w:pPr>
            <w:r>
              <w:t xml:space="preserve">$37,200.00</w:t>
            </w:r>
          </w:p>
        </w:tc>
      </w:tr>
      <w:tr>
        <w:tc>
          <w:tcPr/>
          <w:p>
            <w:pPr>
              <w:pStyle w:val="Compact"/>
              <w:jc w:val="left"/>
            </w:pPr>
            <w:r>
              <w:t xml:space="preserve">007</w:t>
            </w:r>
          </w:p>
        </w:tc>
        <w:tc>
          <w:tcPr/>
          <w:p>
            <w:pPr>
              <w:pStyle w:val="Compact"/>
              <w:jc w:val="left"/>
            </w:pPr>
            <w:r>
              <w:t xml:space="preserve">Assorted Laboratory Consumables Package: pipette tips, culture media, antibodies, staining kits, and reagents (12-month supply for one Medical Researcher team of 4)</w:t>
            </w:r>
          </w:p>
        </w:tc>
        <w:tc>
          <w:tcPr/>
          <w:p>
            <w:pPr>
              <w:pStyle w:val="Compact"/>
              <w:jc w:val="left"/>
            </w:pPr>
            <w:r>
              <w:t xml:space="preserve">1</w:t>
            </w:r>
          </w:p>
        </w:tc>
        <w:tc>
          <w:tcPr/>
          <w:p>
            <w:pPr>
              <w:pStyle w:val="Compact"/>
              <w:jc w:val="left"/>
            </w:pPr>
            <w:r>
              <w:t xml:space="preserve">$54,300.00</w:t>
            </w:r>
          </w:p>
        </w:tc>
        <w:tc>
          <w:tcPr/>
          <w:p>
            <w:pPr>
              <w:pStyle w:val="Compact"/>
              <w:jc w:val="left"/>
            </w:pPr>
            <w:r>
              <w:t xml:space="preserve">$54,300.00</w:t>
            </w:r>
          </w:p>
        </w:tc>
      </w:tr>
      <w:tr>
        <w:tc>
          <w:tcPr/>
          <w:p>
            <w:pPr>
              <w:pStyle w:val="Compact"/>
              <w:jc w:val="left"/>
            </w:pPr>
            <w:r>
              <w:t xml:space="preserve">008</w:t>
            </w:r>
          </w:p>
        </w:tc>
        <w:tc>
          <w:tcPr/>
          <w:p>
            <w:pPr>
              <w:pStyle w:val="Compact"/>
              <w:jc w:val="left"/>
            </w:pPr>
            <w:r>
              <w:t xml:space="preserve">Workstation and Data Analysis Software: 32-core processor workstation with 128GB RAM, dual GPU, and licensed bioinformatics suite for proteomic data interpretation</w:t>
            </w:r>
          </w:p>
        </w:tc>
        <w:tc>
          <w:tcPr/>
          <w:p>
            <w:pPr>
              <w:pStyle w:val="Compact"/>
              <w:jc w:val="left"/>
            </w:pPr>
            <w:r>
              <w:t xml:space="preserve">1</w:t>
            </w:r>
          </w:p>
        </w:tc>
        <w:tc>
          <w:tcPr/>
          <w:p>
            <w:pPr>
              <w:pStyle w:val="Compact"/>
              <w:jc w:val="left"/>
            </w:pPr>
            <w:r>
              <w:t xml:space="preserve">$22,800.00</w:t>
            </w:r>
          </w:p>
        </w:tc>
        <w:tc>
          <w:tcPr/>
          <w:p>
            <w:pPr>
              <w:pStyle w:val="Compact"/>
              <w:jc w:val="left"/>
            </w:pPr>
            <w:r>
              <w:t xml:space="preserve">$22,800.00</w:t>
            </w:r>
          </w:p>
        </w:tc>
      </w:tr>
      <w:tr>
        <w:tc>
          <w:tcPr/>
          <w:p>
            <w:pPr>
              <w:pStyle w:val="Compact"/>
              <w:jc w:val="left"/>
            </w:pPr>
            <w:r>
              <w:t xml:space="preserve">009</w:t>
            </w:r>
          </w:p>
        </w:tc>
        <w:tc>
          <w:tcPr/>
          <w:p>
            <w:pPr>
              <w:pStyle w:val="Compact"/>
              <w:jc w:val="left"/>
            </w:pPr>
            <w:r>
              <w:t xml:space="preserve">Installation, Calibration, and Operator Training Services for all equipment listed above, including on-site training for the Medical Researcher and lab technicians</w:t>
            </w:r>
          </w:p>
        </w:tc>
        <w:tc>
          <w:tcPr/>
          <w:p>
            <w:pPr>
              <w:pStyle w:val="Compact"/>
              <w:jc w:val="left"/>
            </w:pPr>
            <w:r>
              <w:t xml:space="preserve">1</w:t>
            </w:r>
          </w:p>
        </w:tc>
        <w:tc>
          <w:tcPr/>
          <w:p>
            <w:pPr>
              <w:pStyle w:val="Compact"/>
              <w:jc w:val="left"/>
            </w:pPr>
            <w:r>
              <w:t xml:space="preserve">$15,450.00</w:t>
            </w:r>
          </w:p>
        </w:tc>
        <w:tc>
          <w:tcPr/>
          <w:p>
            <w:pPr>
              <w:pStyle w:val="Compact"/>
              <w:jc w:val="left"/>
            </w:pPr>
            <w:r>
              <w:t xml:space="preserve">$15,450.00</w:t>
            </w:r>
          </w:p>
        </w:tc>
      </w:tr>
      <w:tr>
        <w:tc>
          <w:tcPr/>
          <w:p>
            <w:pPr>
              <w:pStyle w:val="Compact"/>
              <w:jc w:val="left"/>
            </w:pPr>
            <w:r>
              <w:t xml:space="preserve">010</w:t>
            </w:r>
          </w:p>
        </w:tc>
        <w:tc>
          <w:tcPr/>
          <w:p>
            <w:pPr>
              <w:pStyle w:val="Compact"/>
              <w:jc w:val="left"/>
            </w:pPr>
            <w:r>
              <w:t xml:space="preserve">Extended Warranty and Annual Preventive Maintenance Plan (3-year term) covering all capital equipment in this Purchase Order</w:t>
            </w:r>
          </w:p>
        </w:tc>
        <w:tc>
          <w:tcPr/>
          <w:p>
            <w:pPr>
              <w:pStyle w:val="Compact"/>
              <w:jc w:val="left"/>
            </w:pPr>
            <w:r>
              <w:t xml:space="preserve">1</w:t>
            </w:r>
          </w:p>
        </w:tc>
        <w:tc>
          <w:tcPr/>
          <w:p>
            <w:pPr>
              <w:pStyle w:val="Compact"/>
              <w:jc w:val="left"/>
            </w:pPr>
            <w:r>
              <w:t xml:space="preserve">$31,200.00</w:t>
            </w:r>
          </w:p>
        </w:tc>
        <w:tc>
          <w:tcPr/>
          <w:p>
            <w:pPr>
              <w:pStyle w:val="Compact"/>
              <w:jc w:val="left"/>
            </w:pPr>
            <w:r>
              <w:t xml:space="preserve">$31,200.00</w:t>
            </w:r>
          </w:p>
        </w:tc>
      </w:tr>
      <w:tr>
        <w:tc>
          <w:tcPr>
            <w:gridSpan w:val="4"/>
          </w:tcPr>
          <w:p>
            <w:pPr>
              <w:pStyle w:val="Compact"/>
              <w:jc w:val="right"/>
            </w:pPr>
            <w:r>
              <w:t xml:space="preserve">SUBTOTAL</w:t>
            </w:r>
          </w:p>
        </w:tc>
        <w:tc>
          <w:tcPr/>
          <w:p>
            <w:pPr>
              <w:pStyle w:val="Compact"/>
              <w:jc w:val="left"/>
            </w:pPr>
            <w:r>
              <w:t xml:space="preserve">$536,300.00</w:t>
            </w:r>
          </w:p>
        </w:tc>
      </w:tr>
      <w:tr>
        <w:tc>
          <w:tcPr>
            <w:gridSpan w:val="4"/>
          </w:tcPr>
          <w:p>
            <w:pPr>
              <w:pStyle w:val="Compact"/>
              <w:jc w:val="right"/>
            </w:pPr>
            <w:r>
              <w:t xml:space="preserve">Sales Tax (8.25% – San Francisco, CA)</w:t>
            </w:r>
          </w:p>
        </w:tc>
        <w:tc>
          <w:tcPr/>
          <w:p>
            <w:pPr>
              <w:pStyle w:val="Compact"/>
              <w:jc w:val="left"/>
            </w:pPr>
            <w:r>
              <w:t xml:space="preserve">$44,244.75</w:t>
            </w:r>
          </w:p>
        </w:tc>
      </w:tr>
      <w:tr>
        <w:tc>
          <w:tcPr>
            <w:gridSpan w:val="4"/>
          </w:tcPr>
          <w:p>
            <w:pPr>
              <w:pStyle w:val="Compact"/>
              <w:jc w:val="right"/>
            </w:pPr>
            <w:r>
              <w:t xml:space="preserve">Shipping and Handling (Insured, White-Glove)</w:t>
            </w:r>
          </w:p>
        </w:tc>
        <w:tc>
          <w:tcPr/>
          <w:p>
            <w:pPr>
              <w:pStyle w:val="Compact"/>
              <w:jc w:val="left"/>
            </w:pPr>
            <w:r>
              <w:t xml:space="preserve">$6,850.00</w:t>
            </w:r>
          </w:p>
        </w:tc>
      </w:tr>
      <w:tr>
        <w:tc>
          <w:tcPr>
            <w:gridSpan w:val="4"/>
          </w:tcPr>
          <w:p>
            <w:pPr>
              <w:pStyle w:val="Compact"/>
              <w:jc w:val="right"/>
            </w:pPr>
            <w:r>
              <w:t xml:space="preserve">TOTAL AMOUNT DUE (USD)</w:t>
            </w:r>
          </w:p>
        </w:tc>
        <w:tc>
          <w:tcPr/>
          <w:p>
            <w:pPr>
              <w:pStyle w:val="Compact"/>
              <w:jc w:val="left"/>
            </w:pPr>
            <w:r>
              <w:t xml:space="preserve">$587,394.75</w:t>
            </w:r>
          </w:p>
        </w:tc>
      </w:tr>
    </w:tbl>
    <w:bookmarkEnd w:id="24"/>
    <w:bookmarkStart w:id="25" w:name="terms-and-conditions"/>
    <w:p>
      <w:pPr>
        <w:pStyle w:val="Heading3"/>
      </w:pPr>
      <w:r>
        <w:t xml:space="preserve">4. Terms and Conditions</w:t>
      </w:r>
    </w:p>
    <w:p>
      <w:pPr>
        <w:pStyle w:val="FirstParagraph"/>
      </w:pPr>
      <w:r>
        <w:t xml:space="preserve">4.1 This Purchase Order constitutes a binding agreement between the Bay Area Institute for Advanced Medical Sciences, located in United States San Francisco, California, and Pacific Scientific Instruments, Inc. All terms herein shall be governed by the laws of the State of California and applicable federal regulations.</w:t>
      </w:r>
    </w:p>
    <w:p>
      <w:pPr>
        <w:pStyle w:val="BodyText"/>
      </w:pPr>
      <w:r>
        <w:t xml:space="preserve">4.2 The Medical Researcher designated under this Purchase Order, Dr. Elena Vasquez, shall serve as the primary technical recipient and acceptance authority for all equipment and supplies. Final acceptance of each item shall be documented in writing within ten (10) business days of delivery and installation at the United States San Francisco laboratory facility.</w:t>
      </w:r>
    </w:p>
    <w:p>
      <w:pPr>
        <w:pStyle w:val="BodyText"/>
      </w:pPr>
      <w:r>
        <w:t xml:space="preserve">4.3 Payment shall be remitted via wire transfer to the supplier's designated account within thirty (30) calendar days of the invoice date, provided that all items have been accepted in accordance with Section 4.2. Late payments shall accrue interest at a rate of 1.5% per month.</w:t>
      </w:r>
    </w:p>
    <w:p>
      <w:pPr>
        <w:pStyle w:val="BodyText"/>
      </w:pPr>
      <w:r>
        <w:t xml:space="preserve">4.4 All equipment must comply with current FDA regulations, OSHA safety standards, and the institutional biosafety guidelines of the Bay Area Institute. The supplier warrants that all items are new, unused, and free from defects in materials and workmanship for a minimum period of three (3) years from the date of acceptance.</w:t>
      </w:r>
    </w:p>
    <w:p>
      <w:pPr>
        <w:pStyle w:val="BodyText"/>
      </w:pPr>
      <w:r>
        <w:t xml:space="preserve">4.5 The supplier shall provide a detailed packing list, certificates of analysis, and all applicable regulatory documentation (including CE and FDA 510(k) clearance where applicable) prior to shipment. All shipments to the United States San Francisco address shall be insured for the full value of the goods.</w:t>
      </w:r>
    </w:p>
    <w:p>
      <w:pPr>
        <w:pStyle w:val="BodyText"/>
      </w:pPr>
      <w:r>
        <w:t xml:space="preserve">4.6 In the event of non-conforming or damaged goods, the Medical Researcher shall notify the supplier in writing within five (5) business days of delivery. The supplier shall, at its sole expense, replace or repair the affected items within fifteen (15) business days.</w:t>
      </w:r>
    </w:p>
    <w:p>
      <w:pPr>
        <w:pStyle w:val="BodyText"/>
      </w:pPr>
      <w:r>
        <w:t xml:space="preserve">4.7 This Purchase Order may not be assigned or transferred by either party without the prior written consent of the other. Any modifications to scope, pricing, or delivery schedule must be executed as a written amendment signed by both parties.</w:t>
      </w:r>
    </w:p>
    <w:p>
      <w:pPr>
        <w:pStyle w:val="BodyText"/>
      </w:pPr>
      <w:r>
        <w:t xml:space="preserve">4.8 The supplier acknowledges that the equipment procured under this Purchase Order will be used exclusively for academic medical research purposes by the designated Medical Researcher and her team at the United States San Francisco facility. No commercial resale or sub-licensing of software components is permitted.</w:t>
      </w:r>
    </w:p>
    <w:bookmarkEnd w:id="25"/>
    <w:bookmarkStart w:id="26" w:name="special-instructions-and-notes"/>
    <w:p>
      <w:pPr>
        <w:pStyle w:val="Heading3"/>
      </w:pPr>
      <w:r>
        <w:t xml:space="preserve">5. Special Instructions and Notes</w:t>
      </w:r>
    </w:p>
    <w:p>
      <w:pPr>
        <w:pStyle w:val="FirstParagraph"/>
      </w:pPr>
      <w:r>
        <w:rPr>
          <w:bCs/>
          <w:b/>
        </w:rPr>
        <w:t xml:space="preserve">Note to Supplier:</w:t>
      </w:r>
      <w:r>
        <w:t xml:space="preserve"> </w:t>
      </w:r>
      <w:r>
        <w:t xml:space="preserve">All deliveries must be coordinated with the Facilities Management Office at the United States San Francisco campus at least 48 hours in advance. The loading dock (Dock B) is accessible Monday through Friday, 7:00 AM to 4:00 PM Pacific Time. The Medical Researcher's laboratory (Room 714, 7th Floor) requires a 48-hour lead time for utility connections (electrical, gas, and data) prior to equipment installation. Please schedule the installation and training services (Item #009) for the week of July 7, 2025, to allow the Medical Researcher to begin the new research protocol by July 14, 2025.</w:t>
      </w:r>
    </w:p>
    <w:bookmarkEnd w:id="26"/>
    <w:bookmarkStart w:id="27" w:name="authorization-and-signatures"/>
    <w:p>
      <w:pPr>
        <w:pStyle w:val="Heading3"/>
      </w:pPr>
      <w:r>
        <w:t xml:space="preserve">6. Authorization and Signatures</w:t>
      </w:r>
    </w:p>
    <w:p>
      <w:pPr>
        <w:pStyle w:val="FirstParagraph"/>
      </w:pPr>
      <w:r>
        <w:rPr>
          <w:bCs/>
          <w:b/>
        </w:rPr>
        <w:t xml:space="preserve">Prepared By:</w:t>
      </w:r>
    </w:p>
    <w:p>
      <w:pPr>
        <w:pStyle w:val="BodyText"/>
      </w:pPr>
      <w:r>
        <w:t xml:space="preserve">Dr. Marcus Chen</w:t>
      </w:r>
    </w:p>
    <w:p>
      <w:pPr>
        <w:pStyle w:val="BodyText"/>
      </w:pPr>
      <w:r>
        <w:t xml:space="preserve">Director of Procurement</w:t>
      </w:r>
    </w:p>
    <w:p>
      <w:pPr>
        <w:pStyle w:val="BodyText"/>
      </w:pPr>
      <w:r>
        <w:t xml:space="preserve">Bay Area Institute for Advanced Medical Sciences</w:t>
      </w:r>
    </w:p>
    <w:p>
      <w:pPr>
        <w:pStyle w:val="BodyText"/>
      </w:pPr>
      <w:r>
        <w:t xml:space="preserve">Date: _______________</w:t>
      </w:r>
    </w:p>
    <w:p>
      <w:pPr>
        <w:pStyle w:val="BodyText"/>
      </w:pPr>
      <w:r>
        <w:rPr>
          <w:bCs/>
          <w:b/>
        </w:rPr>
        <w:t xml:space="preserve">Approved By (Medical Researcher):</w:t>
      </w:r>
    </w:p>
    <w:p>
      <w:pPr>
        <w:pStyle w:val="BodyText"/>
      </w:pPr>
      <w:r>
        <w:t xml:space="preserve">Dr. Elena Vasquez, PhD, MD</w:t>
      </w:r>
    </w:p>
    <w:p>
      <w:pPr>
        <w:pStyle w:val="BodyText"/>
      </w:pPr>
      <w:r>
        <w:t xml:space="preserve">Senior Medical Researcher, PI</w:t>
      </w:r>
    </w:p>
    <w:p>
      <w:pPr>
        <w:pStyle w:val="BodyText"/>
      </w:pPr>
      <w:r>
        <w:t xml:space="preserve">Department of Translational Medicine</w:t>
      </w:r>
    </w:p>
    <w:p>
      <w:pPr>
        <w:pStyle w:val="BodyText"/>
      </w:pPr>
      <w:r>
        <w:t xml:space="preserve">Date: _______________</w:t>
      </w:r>
    </w:p>
    <w:p>
      <w:pPr>
        <w:pStyle w:val="BodyText"/>
      </w:pPr>
      <w:r>
        <w:rPr>
          <w:bCs/>
          <w:b/>
        </w:rPr>
        <w:t xml:space="preserve">Accepted By (Supplier):</w:t>
      </w:r>
    </w:p>
    <w:p>
      <w:pPr>
        <w:pStyle w:val="BodyText"/>
      </w:pPr>
      <w:r>
        <w:t xml:space="preserve">Mr. David Okafor</w:t>
      </w:r>
    </w:p>
    <w:p>
      <w:pPr>
        <w:pStyle w:val="BodyText"/>
      </w:pPr>
      <w:r>
        <w:t xml:space="preserve">Sales Director</w:t>
      </w:r>
    </w:p>
    <w:p>
      <w:pPr>
        <w:pStyle w:val="BodyText"/>
      </w:pPr>
      <w:r>
        <w:t xml:space="preserve">Pacific Scientific Instruments, Inc.</w:t>
      </w:r>
    </w:p>
    <w:p>
      <w:pPr>
        <w:pStyle w:val="BodyText"/>
      </w:pPr>
      <w:r>
        <w:t xml:space="preserve">Date: _______________</w:t>
      </w:r>
    </w:p>
    <w:bookmarkEnd w:id="27"/>
    <w:p>
      <w:pPr>
        <w:pStyle w:val="BodyText"/>
      </w:pPr>
      <w:r>
        <w:t xml:space="preserve">This Purchase Order (PO No. SF-MR-2025-04872) was issued by the Bay Area Institute for Advanced Medical Sciences, United States San Francisco, CA 94103. This document is intended solely for the procurement of research equipment and supplies for the designated Medical Researcher. Unauthorized reproduction or distribution is prohibited. For inquiries, contact the Procurement Office at (415) 555-0192 or procurement@baams.org.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United States San Francisco</dc:title>
  <dc:creator/>
  <dc:language>en</dc:language>
  <cp:keywords/>
  <dcterms:created xsi:type="dcterms:W3CDTF">2026-10-10T08:14:28Z</dcterms:created>
  <dcterms:modified xsi:type="dcterms:W3CDTF">2026-10-10T08:14:28Z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