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Institutional Procurement for Medical Research Operations</w:t>
      </w:r>
    </w:p>
    <w:p>
      <w:pPr>
        <w:pStyle w:val="BodyText"/>
      </w:pPr>
      <w:r>
        <w:t xml:space="preserve">Purchase Order No.:</w:t>
      </w:r>
      <w:r>
        <w:t xml:space="preserve"> </w:t>
      </w:r>
      <w:r>
        <w:t xml:space="preserve">PO-VZC-2025-04782  | </w:t>
      </w:r>
      <w:r>
        <w:t xml:space="preserve"> </w:t>
      </w:r>
      <w:r>
        <w:t xml:space="preserve">Date of Issue:</w:t>
      </w:r>
      <w:r>
        <w:t xml:space="preserve"> </w:t>
      </w:r>
      <w:r>
        <w:t xml:space="preserve">June 12, 2025  | </w:t>
      </w:r>
      <w:r>
        <w:t xml:space="preserve"> </w:t>
      </w:r>
      <w:r>
        <w:t xml:space="preserve">Status:</w:t>
      </w:r>
      <w:r>
        <w:t xml:space="preserve"> </w:t>
      </w:r>
      <w:r>
        <w:t xml:space="preserve">Pending Approval</w:t>
      </w:r>
    </w:p>
    <w:bookmarkEnd w:id="20"/>
    <w:bookmarkStart w:id="21" w:name="buyer-requisitioning-department"/>
    <w:p>
      <w:pPr>
        <w:pStyle w:val="Heading3"/>
      </w:pPr>
      <w:r>
        <w:t xml:space="preserve">BUYER / REQUISITIONING DEPARTMENT</w:t>
      </w:r>
    </w:p>
    <w:p>
      <w:pPr>
        <w:pStyle w:val="FirstParagraph"/>
      </w:pPr>
      <w:r>
        <w:rPr>
          <w:bCs/>
          <w:b/>
        </w:rPr>
        <w:t xml:space="preserve">Organization:</w:t>
      </w:r>
      <w:r>
        <w:t xml:space="preserve"> </w:t>
      </w:r>
      <w:r>
        <w:t xml:space="preserve">Instituto de Investigaciones Médicas de Caracas (IIMC)</w:t>
      </w:r>
    </w:p>
    <w:p>
      <w:pPr>
        <w:pStyle w:val="BodyText"/>
      </w:pPr>
      <w:r>
        <w:rPr>
          <w:bCs/>
          <w:b/>
        </w:rPr>
        <w:t xml:space="preserve">Department:</w:t>
      </w:r>
      <w:r>
        <w:t xml:space="preserve"> </w:t>
      </w:r>
      <w:r>
        <w:t xml:space="preserve">Department of Clinical and Translational Research</w:t>
      </w:r>
    </w:p>
    <w:p>
      <w:pPr>
        <w:pStyle w:val="BodyText"/>
      </w:pPr>
      <w:r>
        <w:rPr>
          <w:bCs/>
          <w:b/>
        </w:rPr>
        <w:t xml:space="preserve">Requisitioned By:</w:t>
      </w:r>
      <w:r>
        <w:t xml:space="preserve"> </w:t>
      </w:r>
      <w:r>
        <w:t xml:space="preserve">Dr. María Elena Rodríguez, Lead</w:t>
      </w:r>
      <w:r>
        <w:t xml:space="preserve"> </w:t>
      </w:r>
      <w:r>
        <w:t xml:space="preserve">Medical Researcher</w:t>
      </w:r>
    </w:p>
    <w:p>
      <w:pPr>
        <w:pStyle w:val="BodyText"/>
      </w:pPr>
      <w:r>
        <w:rPr>
          <w:bCs/>
          <w:b/>
        </w:rPr>
        <w:t xml:space="preserve">Address:</w:t>
      </w:r>
      <w:r>
        <w:t xml:space="preserve"> </w:t>
      </w:r>
      <w:r>
        <w:t xml:space="preserve">Av. Panteón, Edif. Centro Médico, Piso 7, Caracas, Distrito Capital, Venezuela</w:t>
      </w:r>
    </w:p>
    <w:p>
      <w:pPr>
        <w:pStyle w:val="BodyText"/>
      </w:pPr>
      <w:r>
        <w:rPr>
          <w:bCs/>
          <w:b/>
        </w:rPr>
        <w:t xml:space="preserve">Phone:</w:t>
      </w:r>
      <w:r>
        <w:t xml:space="preserve"> </w:t>
      </w:r>
      <w:r>
        <w:t xml:space="preserve">+58 (212) 555-0147</w:t>
      </w:r>
    </w:p>
    <w:p>
      <w:pPr>
        <w:pStyle w:val="BodyText"/>
      </w:pPr>
      <w:r>
        <w:rPr>
          <w:bCs/>
          <w:b/>
        </w:rPr>
        <w:t xml:space="preserve">Email:</w:t>
      </w:r>
      <w:r>
        <w:t xml:space="preserve"> </w:t>
      </w:r>
      <w:r>
        <w:t xml:space="preserve">m.rodriguez@iimc.gob.ve</w:t>
      </w:r>
    </w:p>
    <w:p>
      <w:pPr>
        <w:pStyle w:val="BodyText"/>
      </w:pPr>
      <w:r>
        <w:rPr>
          <w:bCs/>
          <w:b/>
        </w:rPr>
        <w:t xml:space="preserve">RIF:</w:t>
      </w:r>
      <w:r>
        <w:t xml:space="preserve"> </w:t>
      </w:r>
      <w:r>
        <w:t xml:space="preserve">J-02014587-3</w:t>
      </w:r>
    </w:p>
    <w:bookmarkEnd w:id="21"/>
    <w:bookmarkStart w:id="22" w:name="seller-supplier"/>
    <w:p>
      <w:pPr>
        <w:pStyle w:val="Heading3"/>
      </w:pPr>
      <w:r>
        <w:t xml:space="preserve">SELLER / SUPPLIER</w:t>
      </w:r>
    </w:p>
    <w:p>
      <w:pPr>
        <w:pStyle w:val="FirstParagraph"/>
      </w:pPr>
      <w:r>
        <w:rPr>
          <w:bCs/>
          <w:b/>
        </w:rPr>
        <w:t xml:space="preserve">Company:</w:t>
      </w:r>
      <w:r>
        <w:t xml:space="preserve"> </w:t>
      </w:r>
      <w:r>
        <w:t xml:space="preserve">BioLab Scientific Instruments, C.A.</w:t>
      </w:r>
    </w:p>
    <w:p>
      <w:pPr>
        <w:pStyle w:val="BodyText"/>
      </w:pPr>
      <w:r>
        <w:rPr>
          <w:bCs/>
          <w:b/>
        </w:rPr>
        <w:t xml:space="preserve">Contact Person:</w:t>
      </w:r>
      <w:r>
        <w:t xml:space="preserve"> </w:t>
      </w:r>
      <w:r>
        <w:t xml:space="preserve">Ing. Carlos A. Fernández, Sales Director</w:t>
      </w:r>
    </w:p>
    <w:p>
      <w:pPr>
        <w:pStyle w:val="BodyText"/>
      </w:pPr>
      <w:r>
        <w:rPr>
          <w:bCs/>
          <w:b/>
        </w:rPr>
        <w:t xml:space="preserve">Address:</w:t>
      </w:r>
      <w:r>
        <w:t xml:space="preserve"> </w:t>
      </w:r>
      <w:r>
        <w:t xml:space="preserve">Torre Empresarial, Nivel 12, Av. Francisco de Miranda, Chacao, Caracas, Venezuela</w:t>
      </w:r>
    </w:p>
    <w:p>
      <w:pPr>
        <w:pStyle w:val="BodyText"/>
      </w:pPr>
      <w:r>
        <w:rPr>
          <w:bCs/>
          <w:b/>
        </w:rPr>
        <w:t xml:space="preserve">Phone:</w:t>
      </w:r>
      <w:r>
        <w:t xml:space="preserve"> </w:t>
      </w:r>
      <w:r>
        <w:t xml:space="preserve">+58 (212) 555-0892</w:t>
      </w:r>
    </w:p>
    <w:p>
      <w:pPr>
        <w:pStyle w:val="BodyText"/>
      </w:pPr>
      <w:r>
        <w:rPr>
          <w:bCs/>
          <w:b/>
        </w:rPr>
        <w:t xml:space="preserve">Email:</w:t>
      </w:r>
      <w:r>
        <w:t xml:space="preserve"> </w:t>
      </w:r>
      <w:r>
        <w:t xml:space="preserve">sales@biolab-ve.com</w:t>
      </w:r>
    </w:p>
    <w:p>
      <w:pPr>
        <w:pStyle w:val="BodyText"/>
      </w:pPr>
      <w:r>
        <w:rPr>
          <w:bCs/>
          <w:b/>
        </w:rPr>
        <w:t xml:space="preserve">RIF:</w:t>
      </w:r>
      <w:r>
        <w:t xml:space="preserve"> </w:t>
      </w:r>
      <w:r>
        <w:t xml:space="preserve">J-30987654-1</w:t>
      </w:r>
    </w:p>
    <w:p>
      <w:pPr>
        <w:pStyle w:val="BodyText"/>
      </w:pPr>
      <w:r>
        <w:rPr>
          <w:bCs/>
          <w:b/>
        </w:rPr>
        <w:t xml:space="preserve">Supplier Code:</w:t>
      </w:r>
      <w:r>
        <w:t xml:space="preserve"> </w:t>
      </w:r>
      <w:r>
        <w:t xml:space="preserve">SUP-VE-00341</w:t>
      </w:r>
    </w:p>
    <w:bookmarkEnd w:id="22"/>
    <w:p>
      <w:pPr>
        <w:pStyle w:val="BodyText"/>
      </w:pPr>
      <w:r>
        <w:t xml:space="preserve">PURCHASE ORDER LINE ITEMS</w:t>
      </w:r>
    </w:p>
    <w:p>
      <w:pPr>
        <w:pStyle w:val="BodyText"/>
      </w:pPr>
      <w:r>
        <w:t xml:space="preserve">This</w:t>
      </w:r>
      <w:r>
        <w:t xml:space="preserve"> </w:t>
      </w:r>
      <w:r>
        <w:t xml:space="preserve">Purchase Order</w:t>
      </w:r>
      <w:r>
        <w:t xml:space="preserve"> </w:t>
      </w:r>
      <w:r>
        <w:t xml:space="preserve">is issued to procure specialized laboratory equipment, reagents, and consumables required by the</w:t>
      </w:r>
      <w:r>
        <w:t xml:space="preserve"> </w:t>
      </w:r>
      <w:r>
        <w:t xml:space="preserve">Medical Researcher</w:t>
      </w:r>
      <w:r>
        <w:t xml:space="preserve"> </w:t>
      </w:r>
      <w:r>
        <w:t xml:space="preserve">Dr. María Elena Rodríguez and her team for the ongoing Phase III clinical trial on autoimmune disorders. All items are to be delivered to the research facility located in</w:t>
      </w:r>
      <w:r>
        <w:t xml:space="preserve"> </w:t>
      </w:r>
      <w:r>
        <w:t xml:space="preserve">Venezuela Caracas</w:t>
      </w:r>
      <w:r>
        <w:t xml:space="preserve">, specifically at the Centro Médico complex in the Panteón district. The procurement supports a federally funded research grant (Grant No. FONDACITE-2025-0091) and must comply with all Venezuelan regulatory standards established by the Ministerio del Poder Popular para la Salud.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High-Performance Liquid Chromatography (HPLC) System, Model Agilent 1260 Infinity II, with UV-Vis detector and autosampler, calibrated for pharmaceutical-grade analysis</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Real-Time PCR Thermal Cycler, Model Bio-Rad CFX96, 96-well capacity, with software license for quantitative gene expression analysis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$12,800.00</w:t>
            </w:r>
          </w:p>
        </w:tc>
        <w:tc>
          <w:tcPr/>
          <w:p>
            <w:pPr>
              <w:pStyle w:val="Compact"/>
              <w:jc w:val="left"/>
            </w:pPr>
            <w:r>
              <w:t xml:space="preserve">$25,600.00</w:t>
            </w:r>
          </w:p>
        </w:tc>
      </w:tr>
      <w:tr>
        <w:tc>
          <w:tcPr/>
          <w:p>
            <w:pPr>
              <w:pStyle w:val="Compact"/>
              <w:jc w:val="left"/>
            </w:pPr>
            <w:r>
              <w:t xml:space="preserve">03</w:t>
            </w:r>
          </w:p>
        </w:tc>
        <w:tc>
          <w:tcPr/>
          <w:p>
            <w:pPr>
              <w:pStyle w:val="Compact"/>
              <w:jc w:val="left"/>
            </w:pPr>
            <w:r>
              <w:t xml:space="preserve">Centrifuge, Ultra-Cool 15R, 15 mL rotor, 15,000 RPM, for serum and plasma separation in immunological assays</w:t>
            </w:r>
          </w:p>
        </w:tc>
        <w:tc>
          <w:tcPr/>
          <w:p>
            <w:pPr>
              <w:pStyle w:val="Compact"/>
              <w:jc w:val="left"/>
            </w:pPr>
            <w:r>
              <w:t xml:space="preserve">3</w:t>
            </w:r>
          </w:p>
        </w:tc>
        <w:tc>
          <w:tcPr/>
          <w:p>
            <w:pPr>
              <w:pStyle w:val="Compact"/>
              <w:jc w:val="left"/>
            </w:pPr>
            <w:r>
              <w:t xml:space="preserve">Units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04</w:t>
            </w:r>
          </w:p>
        </w:tc>
        <w:tc>
          <w:tcPr/>
          <w:p>
            <w:pPr>
              <w:pStyle w:val="Compact"/>
              <w:jc w:val="left"/>
            </w:pPr>
            <w:r>
              <w:t xml:space="preserve">ELISA Kit, Human Cytokine Panel (IL-6, TNF-alpha, IFN-gamma, IL-10), 96-well format, 24 kits per lot</w:t>
            </w:r>
          </w:p>
        </w:tc>
        <w:tc>
          <w:tcPr/>
          <w:p>
            <w:pPr>
              <w:pStyle w:val="Compact"/>
              <w:jc w:val="left"/>
            </w:pPr>
            <w:r>
              <w:t xml:space="preserve">10</w:t>
            </w:r>
          </w:p>
        </w:tc>
        <w:tc>
          <w:tcPr/>
          <w:p>
            <w:pPr>
              <w:pStyle w:val="Compact"/>
              <w:jc w:val="left"/>
            </w:pPr>
            <w:r>
              <w:t xml:space="preserve">Lots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Cryogenic Freezer, -80°C, 400L capacity, with digital temperature monitoring and alarm system, for long-term biological sample storage</w:t>
            </w:r>
          </w:p>
        </w:tc>
        <w:tc>
          <w:tcPr/>
          <w:p>
            <w:pPr>
              <w:pStyle w:val="Compact"/>
              <w:jc w:val="left"/>
            </w:pPr>
            <w:r>
              <w:t xml:space="preserve">1</w:t>
            </w:r>
          </w:p>
        </w:tc>
        <w:tc>
          <w:tcPr/>
          <w:p>
            <w:pPr>
              <w:pStyle w:val="Compact"/>
              <w:jc w:val="left"/>
            </w:pPr>
            <w:r>
              <w:t xml:space="preserve">Unit</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06</w:t>
            </w:r>
          </w:p>
        </w:tc>
        <w:tc>
          <w:tcPr/>
          <w:p>
            <w:pPr>
              <w:pStyle w:val="Compact"/>
              <w:jc w:val="left"/>
            </w:pPr>
            <w:r>
              <w:t xml:space="preserve">Class II Biological Safety Cabinet, BSC-1400, with HEPA filtration, for handling of human tissue samples and cell culture work</w:t>
            </w:r>
          </w:p>
        </w:tc>
        <w:tc>
          <w:tcPr/>
          <w:p>
            <w:pPr>
              <w:pStyle w:val="Compact"/>
              <w:jc w:val="left"/>
            </w:pPr>
            <w:r>
              <w:t xml:space="preserve">2</w:t>
            </w:r>
          </w:p>
        </w:tc>
        <w:tc>
          <w:tcPr/>
          <w:p>
            <w:pPr>
              <w:pStyle w:val="Compact"/>
              <w:jc w:val="left"/>
            </w:pPr>
            <w:r>
              <w:t xml:space="preserve">Units</w:t>
            </w:r>
          </w:p>
        </w:tc>
        <w:tc>
          <w:tcPr/>
          <w:p>
            <w:pPr>
              <w:pStyle w:val="Compact"/>
              <w:jc w:val="left"/>
            </w:pPr>
            <w:r>
              <w:t xml:space="preserve">$7,300.00</w:t>
            </w:r>
          </w:p>
        </w:tc>
        <w:tc>
          <w:tcPr/>
          <w:p>
            <w:pPr>
              <w:pStyle w:val="Compact"/>
              <w:jc w:val="left"/>
            </w:pPr>
            <w:r>
              <w:t xml:space="preserve">$14,600.00</w:t>
            </w:r>
          </w:p>
        </w:tc>
      </w:tr>
      <w:tr>
        <w:tc>
          <w:tcPr/>
          <w:p>
            <w:pPr>
              <w:pStyle w:val="Compact"/>
              <w:jc w:val="left"/>
            </w:pPr>
            <w:r>
              <w:t xml:space="preserve">07</w:t>
            </w:r>
          </w:p>
        </w:tc>
        <w:tc>
          <w:tcPr/>
          <w:p>
            <w:pPr>
              <w:pStyle w:val="Compact"/>
              <w:jc w:val="left"/>
            </w:pPr>
            <w:r>
              <w:t xml:space="preserve">Disposable Nitrile Gloves, Medical Grade, Size M, 100 units per box, 50 boxes</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$18.50</w:t>
            </w:r>
          </w:p>
        </w:tc>
        <w:tc>
          <w:tcPr/>
          <w:p>
            <w:pPr>
              <w:pStyle w:val="Compact"/>
              <w:jc w:val="left"/>
            </w:pPr>
            <w:r>
              <w:t xml:space="preserve">$925.00</w:t>
            </w:r>
          </w:p>
        </w:tc>
      </w:tr>
      <w:tr>
        <w:tc>
          <w:tcPr/>
          <w:p>
            <w:pPr>
              <w:pStyle w:val="Compact"/>
              <w:jc w:val="left"/>
            </w:pPr>
            <w:r>
              <w:t xml:space="preserve">08</w:t>
            </w:r>
          </w:p>
        </w:tc>
        <w:tc>
          <w:tcPr/>
          <w:p>
            <w:pPr>
              <w:pStyle w:val="Compact"/>
              <w:jc w:val="left"/>
            </w:pPr>
            <w:r>
              <w:t xml:space="preserve">Cell Culture Media, DMEM High Glucose, 500 mL bottles, with L-glutamine and sodium pyruvate, 200 bottles</w:t>
            </w:r>
          </w:p>
        </w:tc>
        <w:tc>
          <w:tcPr/>
          <w:p>
            <w:pPr>
              <w:pStyle w:val="Compact"/>
              <w:jc w:val="left"/>
            </w:pPr>
            <w:r>
              <w:t xml:space="preserve">200</w:t>
            </w:r>
          </w:p>
        </w:tc>
        <w:tc>
          <w:tcPr/>
          <w:p>
            <w:pPr>
              <w:pStyle w:val="Compact"/>
              <w:jc w:val="left"/>
            </w:pPr>
            <w:r>
              <w:t xml:space="preserve">Bottles</w:t>
            </w:r>
          </w:p>
        </w:tc>
        <w:tc>
          <w:tcPr/>
          <w:p>
            <w:pPr>
              <w:pStyle w:val="Compact"/>
              <w:jc w:val="left"/>
            </w:pPr>
            <w:r>
              <w:t xml:space="preserve">$32.00</w:t>
            </w:r>
          </w:p>
        </w:tc>
        <w:tc>
          <w:tcPr/>
          <w:p>
            <w:pPr>
              <w:pStyle w:val="Compact"/>
              <w:jc w:val="left"/>
            </w:pPr>
            <w:r>
              <w:t xml:space="preserve">$6,400.00</w:t>
            </w:r>
          </w:p>
        </w:tc>
      </w:tr>
      <w:tr>
        <w:tc>
          <w:tcPr/>
          <w:p>
            <w:pPr>
              <w:pStyle w:val="Compact"/>
              <w:jc w:val="left"/>
            </w:pPr>
            <w:r>
              <w:t xml:space="preserve">09</w:t>
            </w:r>
          </w:p>
        </w:tc>
        <w:tc>
          <w:tcPr/>
          <w:p>
            <w:pPr>
              <w:pStyle w:val="Compact"/>
              <w:jc w:val="left"/>
            </w:pPr>
            <w:r>
              <w:t xml:space="preserve">Microscope, Inverted Phase Contrast, 1000x magnification, with digital camera and image analysis software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$6,900.00</w:t>
            </w:r>
          </w:p>
        </w:tc>
        <w:tc>
          <w:tcPr/>
          <w:p>
            <w:pPr>
              <w:pStyle w:val="Compact"/>
              <w:jc w:val="left"/>
            </w:pPr>
            <w:r>
              <w:t xml:space="preserve">$13,800.00</w:t>
            </w:r>
          </w:p>
        </w:tc>
      </w:tr>
      <w:tr>
        <w:tc>
          <w:tcPr/>
          <w:p>
            <w:pPr>
              <w:pStyle w:val="Compact"/>
              <w:jc w:val="left"/>
            </w:pPr>
            <w:r>
              <w:t xml:space="preserve">10</w:t>
            </w:r>
          </w:p>
        </w:tc>
        <w:tc>
          <w:tcPr/>
          <w:p>
            <w:pPr>
              <w:pStyle w:val="Compact"/>
              <w:jc w:val="left"/>
            </w:pPr>
            <w:r>
              <w:t xml:space="preserve">Installation, Calibration, and Operator Training Services for all major equipment listed above (Items 01, 02, 05, 06, 09)</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$8,500.00</w:t>
            </w:r>
          </w:p>
        </w:tc>
        <w:tc>
          <w:tcPr/>
          <w:p>
            <w:pPr>
              <w:pStyle w:val="Compact"/>
              <w:jc w:val="left"/>
            </w:pPr>
            <w:r>
              <w:t xml:space="preserve">$8,500.00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right"/>
            </w:pPr>
            <w:r>
              <w:t xml:space="preserve">$169,075.00</w:t>
            </w:r>
          </w:p>
        </w:tc>
      </w:tr>
      <w:tr>
        <w:tc>
          <w:tcPr/>
          <w:p>
            <w:pPr>
              <w:pStyle w:val="Compact"/>
              <w:jc w:val="left"/>
            </w:pPr>
            <w:r>
              <w:t xml:space="preserve">Import Duties &amp; IVA (16%) – Venezuela</w:t>
            </w:r>
          </w:p>
        </w:tc>
        <w:tc>
          <w:tcPr/>
          <w:p>
            <w:pPr>
              <w:pStyle w:val="Compact"/>
              <w:jc w:val="right"/>
            </w:pPr>
            <w:r>
              <w:t xml:space="preserve">$27,052.00</w:t>
            </w:r>
          </w:p>
        </w:tc>
      </w:tr>
      <w:tr>
        <w:tc>
          <w:tcPr/>
          <w:p>
            <w:pPr>
              <w:pStyle w:val="Compact"/>
              <w:jc w:val="left"/>
            </w:pPr>
            <w:r>
              <w:t xml:space="preserve">Shipping &amp; Insurance (Caracas Metro Area)</w:t>
            </w:r>
          </w:p>
        </w:tc>
        <w:tc>
          <w:tcPr/>
          <w:p>
            <w:pPr>
              <w:pStyle w:val="Compact"/>
              <w:jc w:val="right"/>
            </w:pPr>
            <w:r>
              <w:t xml:space="preserve">$3,200.00</w:t>
            </w:r>
          </w:p>
        </w:tc>
      </w:tr>
      <w:tr>
        <w:tc>
          <w:tcPr/>
          <w:p>
            <w:pPr>
              <w:pStyle w:val="Compact"/>
              <w:jc w:val="left"/>
            </w:pPr>
            <w:r>
              <w:t xml:space="preserve">Installation &amp; Commissioning Fee</w:t>
            </w:r>
          </w:p>
        </w:tc>
        <w:tc>
          <w:tcPr/>
          <w:p>
            <w:pPr>
              <w:pStyle w:val="Compact"/>
              <w:jc w:val="right"/>
            </w:pPr>
            <w:r>
              <w:t xml:space="preserve">$1,850.00</w:t>
            </w:r>
          </w:p>
        </w:tc>
      </w:tr>
      <w:tr>
        <w:tc>
          <w:tcPr/>
          <w:p>
            <w:pPr>
              <w:pStyle w:val="Compact"/>
              <w:jc w:val="left"/>
            </w:pPr>
            <w:r>
              <w:t xml:space="preserve">GRAND TOTAL (USD)</w:t>
            </w:r>
          </w:p>
        </w:tc>
        <w:tc>
          <w:tcPr/>
          <w:p>
            <w:pPr>
              <w:pStyle w:val="Compact"/>
              <w:jc w:val="right"/>
            </w:pPr>
            <w:r>
              <w:t xml:space="preserve">$201,177.00</w:t>
            </w:r>
          </w:p>
        </w:tc>
      </w:tr>
    </w:tbl>
    <w:p>
      <w:pPr>
        <w:pStyle w:val="BodyText"/>
      </w:pPr>
      <w:r>
        <w:t xml:space="preserve">TERMS AND CONDITIONS</w:t>
      </w:r>
    </w:p>
    <w:p>
      <w:pPr>
        <w:numPr>
          <w:ilvl w:val="0"/>
          <w:numId w:val="1001"/>
        </w:numPr>
        <w:pStyle w:val="Compact"/>
      </w:pPr>
      <w:r>
        <w:rPr>
          <w:bCs/>
          <w:b/>
        </w:rPr>
        <w:t xml:space="preserve">Delivery Location:</w:t>
      </w:r>
      <w:r>
        <w:t xml:space="preserve"> </w:t>
      </w:r>
      <w:r>
        <w:t xml:space="preserve">All goods and services under this</w:t>
      </w:r>
      <w:r>
        <w:t xml:space="preserve"> </w:t>
      </w:r>
      <w:r>
        <w:t xml:space="preserve">Purchase Order</w:t>
      </w:r>
      <w:r>
        <w:t xml:space="preserve"> </w:t>
      </w:r>
      <w:r>
        <w:t xml:space="preserve">shall be delivered to the IIMC research laboratory at Av. Panteón, Edif. Centro Médico, Piso 7, Caracas, Distrito Capital,</w:t>
      </w:r>
      <w:r>
        <w:t xml:space="preserve"> </w:t>
      </w:r>
      <w:r>
        <w:t xml:space="preserve">Venezuela</w:t>
      </w:r>
      <w:r>
        <w:t xml:space="preserve">. The supplier is responsible for all logistics, customs clearance, and final delivery within the</w:t>
      </w:r>
      <w:r>
        <w:t xml:space="preserve"> </w:t>
      </w:r>
      <w:r>
        <w:t xml:space="preserve">Venezuela Caracas</w:t>
      </w:r>
      <w:r>
        <w:t xml:space="preserve"> </w:t>
      </w:r>
      <w:r>
        <w:t xml:space="preserve">metropolitan area.</w:t>
      </w:r>
    </w:p>
    <w:p>
      <w:pPr>
        <w:numPr>
          <w:ilvl w:val="0"/>
          <w:numId w:val="1001"/>
        </w:numPr>
        <w:pStyle w:val="Compact"/>
      </w:pPr>
      <w:r>
        <w:rPr>
          <w:bCs/>
          <w:b/>
        </w:rPr>
        <w:t xml:space="preserve">Delivery Timeline:</w:t>
      </w:r>
      <w:r>
        <w:t xml:space="preserve"> </w:t>
      </w:r>
      <w:r>
        <w:t xml:space="preserve">Complete delivery of all items is required within forty-five (45) calendar days from the date of this</w:t>
      </w:r>
      <w:r>
        <w:t xml:space="preserve"> </w:t>
      </w:r>
      <w:r>
        <w:t xml:space="preserve">Purchase Order</w:t>
      </w:r>
      <w:r>
        <w:t xml:space="preserve"> </w:t>
      </w:r>
      <w:r>
        <w:t xml:space="preserve">approval. Major equipment (Items 01, 02, 05, 06, 09) must arrive no later than day 35 to allow adequate time for installation and calibration before the</w:t>
      </w:r>
      <w:r>
        <w:t xml:space="preserve"> </w:t>
      </w:r>
      <w:r>
        <w:t xml:space="preserve">Medical Researcher</w:t>
      </w:r>
      <w:r>
        <w:t xml:space="preserve"> </w:t>
      </w:r>
      <w:r>
        <w:t xml:space="preserve">team commences the next phase of the clinical trial.</w:t>
      </w:r>
    </w:p>
    <w:p>
      <w:pPr>
        <w:numPr>
          <w:ilvl w:val="0"/>
          <w:numId w:val="1001"/>
        </w:numPr>
        <w:pStyle w:val="Compact"/>
      </w:pPr>
      <w:r>
        <w:rPr>
          <w:bCs/>
          <w:b/>
        </w:rPr>
        <w:t xml:space="preserve">Payment Terms:</w:t>
      </w:r>
      <w:r>
        <w:t xml:space="preserve"> </w:t>
      </w:r>
      <w:r>
        <w:t xml:space="preserve">Payment shall be made in three installments: 40% upon signing and confirmation of this</w:t>
      </w:r>
      <w:r>
        <w:t xml:space="preserve"> </w:t>
      </w:r>
      <w:r>
        <w:t xml:space="preserve">Purchase Order</w:t>
      </w:r>
      <w:r>
        <w:t xml:space="preserve">, 40% upon delivery and acceptance of all goods at the</w:t>
      </w:r>
      <w:r>
        <w:t xml:space="preserve"> </w:t>
      </w:r>
      <w:r>
        <w:t xml:space="preserve">Venezuela Caracas</w:t>
      </w:r>
      <w:r>
        <w:t xml:space="preserve"> </w:t>
      </w:r>
      <w:r>
        <w:t xml:space="preserve">facility, and 20% upon successful completion of installation, calibration, and operator training. Payment will be processed via bank transfer to the supplier's account in accordance with Venezuelan Central Bank (BCV) foreign exchange regulations.</w:t>
      </w:r>
    </w:p>
    <w:p>
      <w:pPr>
        <w:numPr>
          <w:ilvl w:val="0"/>
          <w:numId w:val="1001"/>
        </w:numPr>
        <w:pStyle w:val="Compact"/>
      </w:pPr>
      <w:r>
        <w:rPr>
          <w:bCs/>
          <w:b/>
        </w:rPr>
        <w:t xml:space="preserve">Quality Assurance:</w:t>
      </w:r>
      <w:r>
        <w:t xml:space="preserve"> </w:t>
      </w:r>
      <w:r>
        <w:t xml:space="preserve">All equipment must be new, unused, and accompanied by manufacturer's warranty certificates (minimum two years). All reagents and consumables must carry valid expiration dates of no less than eighteen (18) months from the date of delivery. The</w:t>
      </w:r>
      <w:r>
        <w:t xml:space="preserve"> </w:t>
      </w:r>
      <w:r>
        <w:t xml:space="preserve">Medical Researcher</w:t>
      </w:r>
      <w:r>
        <w:t xml:space="preserve"> </w:t>
      </w:r>
      <w:r>
        <w:t xml:space="preserve">and the IIMC Quality Assurance Committee reserve the right to inspect and reject any item that does not meet the specified technical parameters.</w:t>
      </w:r>
    </w:p>
    <w:p>
      <w:pPr>
        <w:numPr>
          <w:ilvl w:val="0"/>
          <w:numId w:val="1001"/>
        </w:numPr>
        <w:pStyle w:val="Compact"/>
      </w:pPr>
      <w:r>
        <w:rPr>
          <w:bCs/>
          <w:b/>
        </w:rPr>
        <w:t xml:space="preserve">Regulatory Compliance:</w:t>
      </w:r>
      <w:r>
        <w:t xml:space="preserve"> </w:t>
      </w:r>
      <w:r>
        <w:t xml:space="preserve">The supplier guarantees that all items comply with the regulations of the Ministerio del Poder Popular para la Salud de Venezuela, the Instituto Nacional de Investigaciones Científicas (INCI), and applicable international standards (ISO 9001, CE marking where applicable). Import permits and sanitary certifications for</w:t>
      </w:r>
      <w:r>
        <w:t xml:space="preserve"> </w:t>
      </w:r>
      <w:r>
        <w:t xml:space="preserve">Venezuela</w:t>
      </w:r>
      <w:r>
        <w:t xml:space="preserve"> </w:t>
      </w:r>
      <w:r>
        <w:t xml:space="preserve">shall be the sole responsibility of the supplier.</w:t>
      </w:r>
    </w:p>
    <w:p>
      <w:pPr>
        <w:numPr>
          <w:ilvl w:val="0"/>
          <w:numId w:val="1001"/>
        </w:numPr>
        <w:pStyle w:val="Compact"/>
      </w:pPr>
      <w:r>
        <w:rPr>
          <w:bCs/>
          <w:b/>
        </w:rPr>
        <w:t xml:space="preserve">Warranty and Support:</w:t>
      </w:r>
      <w:r>
        <w:t xml:space="preserve"> </w:t>
      </w:r>
      <w:r>
        <w:t xml:space="preserve">The supplier shall provide on-site technical support in</w:t>
      </w:r>
      <w:r>
        <w:t xml:space="preserve"> </w:t>
      </w:r>
      <w:r>
        <w:t xml:space="preserve">Venezuela Caracas</w:t>
      </w:r>
      <w:r>
        <w:t xml:space="preserve"> </w:t>
      </w:r>
      <w:r>
        <w:t xml:space="preserve">for a period of twelve (12) months following installation. Response time for any equipment malfunction shall not exceed forty-eight (48) hours. Spare parts for the first year are included in the total price.</w:t>
      </w:r>
    </w:p>
    <w:p>
      <w:pPr>
        <w:numPr>
          <w:ilvl w:val="0"/>
          <w:numId w:val="1001"/>
        </w:numPr>
        <w:pStyle w:val="Compact"/>
      </w:pPr>
      <w:r>
        <w:rPr>
          <w:bCs/>
          <w:b/>
        </w:rPr>
        <w:t xml:space="preserve">Confidentiality:</w:t>
      </w:r>
      <w:r>
        <w:t xml:space="preserve"> </w:t>
      </w:r>
      <w:r>
        <w:t xml:space="preserve">The supplier acknowledges that this</w:t>
      </w:r>
      <w:r>
        <w:t xml:space="preserve"> </w:t>
      </w:r>
      <w:r>
        <w:t xml:space="preserve">Purchase Order</w:t>
      </w:r>
      <w:r>
        <w:t xml:space="preserve"> </w:t>
      </w:r>
      <w:r>
        <w:t xml:space="preserve">supports sensitive medical research conducted by a</w:t>
      </w:r>
      <w:r>
        <w:t xml:space="preserve"> </w:t>
      </w:r>
      <w:r>
        <w:t xml:space="preserve">Medical Researcher</w:t>
      </w:r>
      <w:r>
        <w:t xml:space="preserve"> </w:t>
      </w:r>
      <w:r>
        <w:t xml:space="preserve">under a federally funded grant. All parties agree to maintain strict confidentiality regarding the nature, scope, and findings of the research project. No information derived from this procurement shall be disclosed to third parties without written consent from IIMC.</w:t>
      </w:r>
    </w:p>
    <w:p>
      <w:pPr>
        <w:numPr>
          <w:ilvl w:val="0"/>
          <w:numId w:val="1001"/>
        </w:numPr>
        <w:pStyle w:val="Compact"/>
      </w:pPr>
      <w:r>
        <w:rPr>
          <w:bCs/>
          <w:b/>
        </w:rPr>
        <w:t xml:space="preserve">Force Majeure:</w:t>
      </w:r>
      <w:r>
        <w:t xml:space="preserve"> </w:t>
      </w:r>
      <w:r>
        <w:t xml:space="preserve">Neither party shall be held liable for delays caused by events beyond reasonable control, including but not limited to natural disasters, government sanctions, currency control restrictions in</w:t>
      </w:r>
      <w:r>
        <w:t xml:space="preserve"> </w:t>
      </w:r>
      <w:r>
        <w:t xml:space="preserve">Venezuela</w:t>
      </w:r>
      <w:r>
        <w:t xml:space="preserve">, or public health emergencies affecting the</w:t>
      </w:r>
      <w:r>
        <w:t xml:space="preserve"> </w:t>
      </w:r>
      <w:r>
        <w:t xml:space="preserve">Venezuela Caracas</w:t>
      </w:r>
      <w:r>
        <w:t xml:space="preserve"> </w:t>
      </w:r>
      <w:r>
        <w:t xml:space="preserve">region.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interpreted in accordance with the laws of the Bolivarian Republic of</w:t>
      </w:r>
      <w:r>
        <w:t xml:space="preserve"> </w:t>
      </w:r>
      <w:r>
        <w:t xml:space="preserve">Venezuela</w:t>
      </w:r>
      <w:r>
        <w:t xml:space="preserve">. Any disputes arising from this agreement shall be resolved through arbitration in</w:t>
      </w:r>
      <w:r>
        <w:t xml:space="preserve"> </w:t>
      </w:r>
      <w:r>
        <w:t xml:space="preserve">Caracas</w:t>
      </w:r>
      <w:r>
        <w:t xml:space="preserve">,</w:t>
      </w:r>
      <w:r>
        <w:t xml:space="preserve"> </w:t>
      </w:r>
      <w:r>
        <w:t xml:space="preserve">Venezuela</w:t>
      </w:r>
      <w:r>
        <w:t xml:space="preserve">, in accordance with the rules of the Centro de Arbitraje y Mediación de la Cámara de Comercio de Caracas.</w:t>
      </w:r>
    </w:p>
    <w:p>
      <w:pPr>
        <w:pStyle w:val="FirstParagraph"/>
      </w:pPr>
      <w:r>
        <w:rPr>
          <w:bCs/>
          <w:b/>
        </w:rPr>
        <w:t xml:space="preserve">NOTE:</w:t>
      </w:r>
      <w:r>
        <w:t xml:space="preserve"> </w:t>
      </w:r>
      <w:r>
        <w:t xml:space="preserve">This</w:t>
      </w:r>
      <w:r>
        <w:t xml:space="preserve"> </w:t>
      </w:r>
      <w:r>
        <w:t xml:space="preserve">Purchase Order</w:t>
      </w:r>
      <w:r>
        <w:t xml:space="preserve"> </w:t>
      </w:r>
      <w:r>
        <w:t xml:space="preserve">is a controlled document. Any modifications to the scope, quantities, or pricing must be executed through a formal amendment signed by both parties. The</w:t>
      </w:r>
      <w:r>
        <w:t xml:space="preserve"> </w:t>
      </w:r>
      <w:r>
        <w:t xml:space="preserve">Medical Researcher</w:t>
      </w:r>
      <w:r>
        <w:t xml:space="preserve"> </w:t>
      </w:r>
      <w:r>
        <w:t xml:space="preserve">Dr. Rodríguez must approve any changes that affect the research timeline or protocol. This document is valid for a period of ninety (90) days from the date of issue.</w:t>
      </w:r>
    </w:p>
    <w:p>
      <w:pPr>
        <w:pStyle w:val="BodyText"/>
      </w:pPr>
      <w:r>
        <w:t xml:space="preserve">APPROVAL AND SIGNATURES</w:t>
      </w:r>
    </w:p>
    <w:p>
      <w:pPr>
        <w:pStyle w:val="BodyText"/>
      </w:pPr>
      <w:r>
        <w:rPr>
          <w:bCs/>
          <w:b/>
        </w:rPr>
        <w:t xml:space="preserve">Dr. María Elena Rodríguez</w:t>
      </w:r>
      <w:r>
        <w:br/>
      </w:r>
      <w:r>
        <w:t xml:space="preserve">Lead</w:t>
      </w:r>
      <w:r>
        <w:t xml:space="preserve"> </w:t>
      </w:r>
      <w:r>
        <w:t xml:space="preserve">Medical Researcher</w:t>
      </w:r>
      <w:r>
        <w:t xml:space="preserve"> </w:t>
      </w:r>
      <w:r>
        <w:t xml:space="preserve">/ Requisitioner</w:t>
      </w:r>
      <w:r>
        <w:br/>
      </w:r>
      <w:r>
        <w:t xml:space="preserve">IIMC – Caracas,</w:t>
      </w:r>
      <w:r>
        <w:t xml:space="preserve"> </w:t>
      </w:r>
      <w:r>
        <w:t xml:space="preserve">Venezuela</w:t>
      </w:r>
      <w:r>
        <w:br/>
      </w:r>
      <w:r>
        <w:t xml:space="preserve">Date: ______________________</w:t>
      </w:r>
    </w:p>
    <w:p>
      <w:pPr>
        <w:pStyle w:val="BodyText"/>
      </w:pPr>
      <w:r>
        <w:rPr>
          <w:bCs/>
          <w:b/>
        </w:rPr>
        <w:t xml:space="preserve">Ing. Carlos A. Fernández</w:t>
      </w:r>
      <w:r>
        <w:br/>
      </w:r>
      <w:r>
        <w:t xml:space="preserve">Sales Director / Authorized Representative</w:t>
      </w:r>
      <w:r>
        <w:br/>
      </w:r>
      <w:r>
        <w:t xml:space="preserve">BioLab Scientific Instruments, C.A.</w:t>
      </w:r>
      <w:r>
        <w:br/>
      </w:r>
      <w:r>
        <w:t xml:space="preserve">Date: ______________________</w:t>
      </w:r>
    </w:p>
    <w:p>
      <w:pPr>
        <w:pStyle w:val="BodyText"/>
      </w:pPr>
      <w:r>
        <w:rPr>
          <w:bCs/>
          <w:b/>
        </w:rPr>
        <w:t xml:space="preserve">Dr. Jorge A. Martínez</w:t>
      </w:r>
      <w:r>
        <w:br/>
      </w:r>
      <w:r>
        <w:t xml:space="preserve">Director, IIMC</w:t>
      </w:r>
      <w:r>
        <w:br/>
      </w:r>
      <w:r>
        <w:t xml:space="preserve">Institutional Approval</w:t>
      </w:r>
      <w:r>
        <w:br/>
      </w:r>
      <w:r>
        <w:t xml:space="preserve">Date: ______________________</w:t>
      </w:r>
    </w:p>
    <w:p>
      <w:pPr>
        <w:pStyle w:val="BodyText"/>
      </w:pPr>
      <w:r>
        <w:rPr>
          <w:bCs/>
          <w:b/>
        </w:rPr>
        <w:t xml:space="preserve">Lic. Ana P. Gutiérrez</w:t>
      </w:r>
      <w:r>
        <w:br/>
      </w:r>
      <w:r>
        <w:t xml:space="preserve">Procurement &amp; Contracts Officer</w:t>
      </w:r>
      <w:r>
        <w:br/>
      </w:r>
      <w:r>
        <w:t xml:space="preserve">IIMC –</w:t>
      </w:r>
      <w:r>
        <w:t xml:space="preserve"> </w:t>
      </w:r>
      <w:r>
        <w:t xml:space="preserve">Venezuela Caracas</w:t>
      </w:r>
      <w:r>
        <w:br/>
      </w:r>
      <w:r>
        <w:t xml:space="preserve">Date: ______________________</w:t>
      </w:r>
    </w:p>
    <w:p>
      <w:pPr>
        <w:pStyle w:val="BodyText"/>
      </w:pPr>
      <w:r>
        <w:t xml:space="preserve">Purchase Order</w:t>
      </w:r>
      <w:r>
        <w:t xml:space="preserve"> </w:t>
      </w:r>
      <w:r>
        <w:t xml:space="preserve">No. PO-VZC-2025-04782 | Instituto de Investigaciones Médicas de Caracas |</w:t>
      </w:r>
      <w:r>
        <w:t xml:space="preserve"> </w:t>
      </w:r>
      <w:r>
        <w:t xml:space="preserve">Venezuela Caracas</w:t>
      </w:r>
      <w:r>
        <w:t xml:space="preserve">, Distrito Capital</w:t>
      </w:r>
    </w:p>
    <w:p>
      <w:pPr>
        <w:pStyle w:val="BodyText"/>
      </w:pPr>
      <w:r>
        <w:t xml:space="preserve">Document Classification: CONFIDENTIAL – For Institutional Use Only | Page 1 of 1</w:t>
      </w:r>
    </w:p>
    <w:p>
      <w:pPr>
        <w:pStyle w:val="BodyText"/>
      </w:pPr>
      <w:r>
        <w:t xml:space="preserve">This</w:t>
      </w:r>
      <w:r>
        <w:t xml:space="preserve"> </w:t>
      </w:r>
      <w:r>
        <w:t xml:space="preserve">Purchase Order</w:t>
      </w:r>
      <w:r>
        <w:t xml:space="preserve"> </w:t>
      </w:r>
      <w:r>
        <w:t xml:space="preserve">was generated in support of the</w:t>
      </w:r>
      <w:r>
        <w:t xml:space="preserve"> </w:t>
      </w:r>
      <w:r>
        <w:t xml:space="preserve">Medical Researcher</w:t>
      </w:r>
      <w:r>
        <w:t xml:space="preserve"> </w:t>
      </w:r>
      <w:r>
        <w:t xml:space="preserve">program under FONDACITE Grant No. FONDACITE-2025-0091.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Venezuela Caracas</dc:title>
  <dc:creator/>
  <dc:language>en</dc:language>
  <cp:keywords/>
  <dcterms:created xsi:type="dcterms:W3CDTF">2026-10-10T04:34:51Z</dcterms:created>
  <dcterms:modified xsi:type="dcterms:W3CDTF">2026-10-10T04:34:51Z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