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Turkey</w:t>
      </w:r>
      <w:r>
        <w:t xml:space="preserve"> </w:t>
      </w:r>
      <w:r>
        <w:t xml:space="preserve">Ankara</w:t>
      </w:r>
    </w:p>
    <w:p>
      <w:pPr>
        <w:pStyle w:val="FirstParagraph"/>
      </w:pPr>
      <w:r>
        <w:t xml:space="preserve">OFFICIAL PROCUREMENT DOCUMENT — REPUBLIC OF TURKEY</w:t>
      </w:r>
    </w:p>
    <w:bookmarkStart w:id="20" w:name="purchase-order"/>
    <w:p>
      <w:pPr>
        <w:pStyle w:val="Heading1"/>
      </w:pPr>
      <w:r>
        <w:t xml:space="preserve">PURCHASE ORDER</w:t>
      </w:r>
    </w:p>
    <w:p>
      <w:pPr>
        <w:pStyle w:val="FirstParagraph"/>
      </w:pPr>
      <w:r>
        <w:t xml:space="preserve">Military Officer Procurement &amp; Equipment Acquisition</w:t>
      </w:r>
    </w:p>
    <w:p>
      <w:pPr>
        <w:pStyle w:val="BodyText"/>
      </w:pPr>
      <w:r>
        <w:t xml:space="preserve">PO No: TR-ANK-2025-MIL-04782</w:t>
      </w:r>
    </w:p>
    <w:p>
      <w:pPr>
        <w:pStyle w:val="BodyText"/>
      </w:pPr>
      <w:r>
        <w:t xml:space="preserve">Date of Issue: 14 June 2025</w:t>
      </w:r>
    </w:p>
    <w:p>
      <w:pPr>
        <w:pStyle w:val="BodyText"/>
      </w:pPr>
      <w:r>
        <w:t xml:space="preserve">Place of Execution: Ankara, Turkey</w:t>
      </w:r>
    </w:p>
    <w:bookmarkEnd w:id="20"/>
    <w:bookmarkStart w:id="21" w:name="purchasing-authority"/>
    <w:p>
      <w:pPr>
        <w:pStyle w:val="Heading2"/>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Issuing Organization</w:t>
            </w:r>
          </w:p>
        </w:tc>
        <w:tc>
          <w:tcPr/>
          <w:p>
            <w:pPr>
              <w:pStyle w:val="Compact"/>
              <w:jc w:val="left"/>
            </w:pPr>
            <w:r>
              <w:t xml:space="preserve">General Staff of the Turkish Armed Forces, Directorate of Logistics and Procurement</w:t>
            </w:r>
          </w:p>
        </w:tc>
      </w:tr>
      <w:tr>
        <w:tc>
          <w:tcPr/>
          <w:p>
            <w:pPr>
              <w:pStyle w:val="Compact"/>
              <w:jc w:val="left"/>
            </w:pPr>
            <w:r>
              <w:t xml:space="preserve">Headquarters Location</w:t>
            </w:r>
          </w:p>
        </w:tc>
        <w:tc>
          <w:tcPr/>
          <w:p>
            <w:pPr>
              <w:pStyle w:val="Compact"/>
              <w:jc w:val="left"/>
            </w:pPr>
            <w:r>
              <w:t xml:space="preserve">Ankara, Turkey — Command and Control Complex, Çankaya District</w:t>
            </w:r>
          </w:p>
        </w:tc>
      </w:tr>
      <w:tr>
        <w:tc>
          <w:tcPr/>
          <w:p>
            <w:pPr>
              <w:pStyle w:val="Compact"/>
              <w:jc w:val="left"/>
            </w:pPr>
            <w:r>
              <w:t xml:space="preserve">Purchasing Officer</w:t>
            </w:r>
          </w:p>
        </w:tc>
        <w:tc>
          <w:tcPr/>
          <w:p>
            <w:pPr>
              <w:pStyle w:val="Compact"/>
              <w:jc w:val="left"/>
            </w:pPr>
            <w:r>
              <w:t xml:space="preserve">Colonel Emre Kaya, Procurement Division, Ankara, Turkey</w:t>
            </w:r>
          </w:p>
        </w:tc>
      </w:tr>
      <w:tr>
        <w:tc>
          <w:tcPr/>
          <w:p>
            <w:pPr>
              <w:pStyle w:val="Compact"/>
              <w:jc w:val="left"/>
            </w:pPr>
            <w:r>
              <w:t xml:space="preserve">Contact Address</w:t>
            </w:r>
          </w:p>
        </w:tc>
        <w:tc>
          <w:tcPr/>
          <w:p>
            <w:pPr>
              <w:pStyle w:val="Compact"/>
              <w:jc w:val="left"/>
            </w:pPr>
            <w:r>
              <w:t xml:space="preserve">Atatürk Bulvarı No. 12, 06570 Çankaya, Ankara, Turkey</w:t>
            </w:r>
          </w:p>
        </w:tc>
      </w:tr>
      <w:tr>
        <w:tc>
          <w:tcPr/>
          <w:p>
            <w:pPr>
              <w:pStyle w:val="Compact"/>
              <w:jc w:val="left"/>
            </w:pPr>
            <w:r>
              <w:t xml:space="preserve">Telephone / Email</w:t>
            </w:r>
          </w:p>
        </w:tc>
        <w:tc>
          <w:tcPr/>
          <w:p>
            <w:pPr>
              <w:pStyle w:val="Compact"/>
              <w:jc w:val="left"/>
            </w:pPr>
            <w:r>
              <w:t xml:space="preserve">+90 (312) 466 0000 / procurement@tsk.gov.tr</w:t>
            </w:r>
          </w:p>
        </w:tc>
      </w:tr>
    </w:tbl>
    <w:bookmarkEnd w:id="21"/>
    <w:bookmarkStart w:id="22" w:name="supplier-vendor-information"/>
    <w:p>
      <w:pPr>
        <w:pStyle w:val="Heading2"/>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Anadolu Savunma Sistemleri A.Ş. (Anatolia Defense Systems Inc.)</w:t>
            </w:r>
          </w:p>
        </w:tc>
      </w:tr>
      <w:tr>
        <w:tc>
          <w:tcPr/>
          <w:p>
            <w:pPr>
              <w:pStyle w:val="Compact"/>
              <w:jc w:val="left"/>
            </w:pPr>
            <w:r>
              <w:t xml:space="preserve">Vendor Address</w:t>
            </w:r>
          </w:p>
        </w:tc>
        <w:tc>
          <w:tcPr/>
          <w:p>
            <w:pPr>
              <w:pStyle w:val="Compact"/>
              <w:jc w:val="left"/>
            </w:pPr>
            <w:r>
              <w:t xml:space="preserve">OSB 10. Cadde No. 45, Sincan, 06950 Ankara, Turkey</w:t>
            </w:r>
          </w:p>
        </w:tc>
      </w:tr>
      <w:tr>
        <w:tc>
          <w:tcPr/>
          <w:p>
            <w:pPr>
              <w:pStyle w:val="Compact"/>
              <w:jc w:val="left"/>
            </w:pPr>
            <w:r>
              <w:t xml:space="preserve">Tax Identification No.</w:t>
            </w:r>
          </w:p>
        </w:tc>
        <w:tc>
          <w:tcPr/>
          <w:p>
            <w:pPr>
              <w:pStyle w:val="Compact"/>
              <w:jc w:val="left"/>
            </w:pPr>
            <w:r>
              <w:t xml:space="preserve">TR-1234567890</w:t>
            </w:r>
          </w:p>
        </w:tc>
      </w:tr>
      <w:tr>
        <w:tc>
          <w:tcPr/>
          <w:p>
            <w:pPr>
              <w:pStyle w:val="Compact"/>
              <w:jc w:val="left"/>
            </w:pPr>
            <w:r>
              <w:t xml:space="preserve">Authorized Representative</w:t>
            </w:r>
          </w:p>
        </w:tc>
        <w:tc>
          <w:tcPr/>
          <w:p>
            <w:pPr>
              <w:pStyle w:val="Compact"/>
              <w:jc w:val="left"/>
            </w:pPr>
            <w:r>
              <w:t xml:space="preserve">Mr. Selim Aydın, Chief Executive Officer</w:t>
            </w:r>
          </w:p>
        </w:tc>
      </w:tr>
      <w:tr>
        <w:tc>
          <w:tcPr/>
          <w:p>
            <w:pPr>
              <w:pStyle w:val="Compact"/>
              <w:jc w:val="left"/>
            </w:pPr>
            <w:r>
              <w:t xml:space="preserve">Bank Details</w:t>
            </w:r>
          </w:p>
        </w:tc>
        <w:tc>
          <w:tcPr/>
          <w:p>
            <w:pPr>
              <w:pStyle w:val="Compact"/>
              <w:jc w:val="left"/>
            </w:pPr>
            <w:r>
              <w:t xml:space="preserve">Ziraat Bankası A.Ş., Ankara Branch — IBAN: TR12 0001 0002 3456 7890 1234 56</w:t>
            </w:r>
          </w:p>
        </w:tc>
      </w:tr>
    </w:tbl>
    <w:bookmarkEnd w:id="22"/>
    <w:bookmarkStart w:id="23" w:name="Xd63a8079f269c549d115f90d7ac6c9c7739304e"/>
    <w:p>
      <w:pPr>
        <w:pStyle w:val="Heading2"/>
      </w:pPr>
      <w:r>
        <w:t xml:space="preserve">3. Scope of Purchase — Military Officer Equipment &amp; Uniforms</w:t>
      </w:r>
    </w:p>
    <w:p>
      <w:pPr>
        <w:pStyle w:val="FirstParagraph"/>
      </w:pPr>
      <w:r>
        <w:t xml:space="preserve">This</w:t>
      </w:r>
      <w:r>
        <w:t xml:space="preserve"> </w:t>
      </w:r>
      <w:r>
        <w:t xml:space="preserve">Purchase Order</w:t>
      </w:r>
      <w:r>
        <w:t xml:space="preserve"> </w:t>
      </w:r>
      <w:r>
        <w:t xml:space="preserve">is issued by the Turkish Armed Forces Directorate of Logistics, headquartered in</w:t>
      </w:r>
      <w:r>
        <w:t xml:space="preserve"> </w:t>
      </w:r>
      <w:r>
        <w:t xml:space="preserve">Ankara, Turkey</w:t>
      </w:r>
      <w:r>
        <w:t xml:space="preserve">, for the procurement of standardized uniforms, insignia, and field equipment required for the commissioning and operational readiness of</w:t>
      </w:r>
      <w:r>
        <w:t xml:space="preserve"> </w:t>
      </w:r>
      <w:r>
        <w:t xml:space="preserve">Military Officer</w:t>
      </w:r>
      <w:r>
        <w:t xml:space="preserve"> </w:t>
      </w:r>
      <w:r>
        <w:t xml:space="preserve">personnel. All items listed below shall conform to the specifications established by the General Staff of the Republic of Turkey and shall be delivered to the designated Military Officer training and deployment facilities located within the Ankara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Military Officer Service Uniform (Full Set) — Army Branch</w:t>
            </w:r>
          </w:p>
        </w:tc>
        <w:tc>
          <w:tcPr/>
          <w:p>
            <w:pPr>
              <w:pStyle w:val="Compact"/>
              <w:jc w:val="left"/>
            </w:pPr>
            <w:r>
              <w:t xml:space="preserve">TSK Standard 2025, Olive Drab, Sizes L–XXL</w:t>
            </w:r>
          </w:p>
        </w:tc>
        <w:tc>
          <w:tcPr/>
          <w:p>
            <w:pPr>
              <w:pStyle w:val="Compact"/>
              <w:jc w:val="left"/>
            </w:pPr>
            <w:r>
              <w:t xml:space="preserve">500</w:t>
            </w:r>
          </w:p>
        </w:tc>
        <w:tc>
          <w:tcPr/>
          <w:p>
            <w:pPr>
              <w:pStyle w:val="Compact"/>
              <w:jc w:val="left"/>
            </w:pPr>
            <w:r>
              <w:t xml:space="preserve">4,200.00</w:t>
            </w:r>
          </w:p>
        </w:tc>
        <w:tc>
          <w:tcPr/>
          <w:p>
            <w:pPr>
              <w:pStyle w:val="Compact"/>
              <w:jc w:val="left"/>
            </w:pPr>
            <w:r>
              <w:t xml:space="preserve">2,100,000.00</w:t>
            </w:r>
          </w:p>
        </w:tc>
      </w:tr>
      <w:tr>
        <w:tc>
          <w:tcPr/>
          <w:p>
            <w:pPr>
              <w:pStyle w:val="Compact"/>
              <w:jc w:val="left"/>
            </w:pPr>
            <w:r>
              <w:t xml:space="preserve">02</w:t>
            </w:r>
          </w:p>
        </w:tc>
        <w:tc>
          <w:tcPr/>
          <w:p>
            <w:pPr>
              <w:pStyle w:val="Compact"/>
              <w:jc w:val="left"/>
            </w:pPr>
            <w:r>
              <w:t xml:space="preserve">Military Officer Rank Insignia &amp; Shoulder Boards</w:t>
            </w:r>
          </w:p>
        </w:tc>
        <w:tc>
          <w:tcPr/>
          <w:p>
            <w:pPr>
              <w:pStyle w:val="Compact"/>
              <w:jc w:val="left"/>
            </w:pPr>
            <w:r>
              <w:t xml:space="preserve">Gold-plated, Commissioned Officer grades (Lt. through Col.)</w:t>
            </w:r>
          </w:p>
        </w:tc>
        <w:tc>
          <w:tcPr/>
          <w:p>
            <w:pPr>
              <w:pStyle w:val="Compact"/>
              <w:jc w:val="left"/>
            </w:pPr>
            <w:r>
              <w:t xml:space="preserve">500</w:t>
            </w:r>
          </w:p>
        </w:tc>
        <w:tc>
          <w:tcPr/>
          <w:p>
            <w:pPr>
              <w:pStyle w:val="Compact"/>
              <w:jc w:val="left"/>
            </w:pPr>
            <w:r>
              <w:t xml:space="preserve">1,850.00</w:t>
            </w:r>
          </w:p>
        </w:tc>
        <w:tc>
          <w:tcPr/>
          <w:p>
            <w:pPr>
              <w:pStyle w:val="Compact"/>
              <w:jc w:val="left"/>
            </w:pPr>
            <w:r>
              <w:t xml:space="preserve">925,000.00</w:t>
            </w:r>
          </w:p>
        </w:tc>
      </w:tr>
      <w:tr>
        <w:tc>
          <w:tcPr/>
          <w:p>
            <w:pPr>
              <w:pStyle w:val="Compact"/>
              <w:jc w:val="left"/>
            </w:pPr>
            <w:r>
              <w:t xml:space="preserve">03</w:t>
            </w:r>
          </w:p>
        </w:tc>
        <w:tc>
          <w:tcPr/>
          <w:p>
            <w:pPr>
              <w:pStyle w:val="Compact"/>
              <w:jc w:val="left"/>
            </w:pPr>
            <w:r>
              <w:t xml:space="preserve">Military Officer Field Combat Boots</w:t>
            </w:r>
          </w:p>
        </w:tc>
        <w:tc>
          <w:tcPr/>
          <w:p>
            <w:pPr>
              <w:pStyle w:val="Compact"/>
              <w:jc w:val="left"/>
            </w:pPr>
            <w:r>
              <w:t xml:space="preserve">TSK Approved, Sizes 40–47, Anti-slip sole</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04</w:t>
            </w:r>
          </w:p>
        </w:tc>
        <w:tc>
          <w:tcPr/>
          <w:p>
            <w:pPr>
              <w:pStyle w:val="Compact"/>
              <w:jc w:val="left"/>
            </w:pPr>
            <w:r>
              <w:t xml:space="preserve">Military Officer Tactical Vest &amp; Modular Pouch System</w:t>
            </w:r>
          </w:p>
        </w:tc>
        <w:tc>
          <w:tcPr/>
          <w:p>
            <w:pPr>
              <w:pStyle w:val="Compact"/>
              <w:jc w:val="left"/>
            </w:pPr>
            <w:r>
              <w:t xml:space="preserve">Level IIIA Ballistic, MOLLE-compatible, Ankara-issued serial</w:t>
            </w:r>
          </w:p>
        </w:tc>
        <w:tc>
          <w:tcPr/>
          <w:p>
            <w:pPr>
              <w:pStyle w:val="Compact"/>
              <w:jc w:val="left"/>
            </w:pPr>
            <w:r>
              <w:t xml:space="preserve">500</w:t>
            </w:r>
          </w:p>
        </w:tc>
        <w:tc>
          <w:tcPr/>
          <w:p>
            <w:pPr>
              <w:pStyle w:val="Compact"/>
              <w:jc w:val="left"/>
            </w:pPr>
            <w:r>
              <w:t xml:space="preserve">8,750.00</w:t>
            </w:r>
          </w:p>
        </w:tc>
        <w:tc>
          <w:tcPr/>
          <w:p>
            <w:pPr>
              <w:pStyle w:val="Compact"/>
              <w:jc w:val="left"/>
            </w:pPr>
            <w:r>
              <w:t xml:space="preserve">4,375,000.00</w:t>
            </w:r>
          </w:p>
        </w:tc>
      </w:tr>
      <w:tr>
        <w:tc>
          <w:tcPr/>
          <w:p>
            <w:pPr>
              <w:pStyle w:val="Compact"/>
              <w:jc w:val="left"/>
            </w:pPr>
            <w:r>
              <w:t xml:space="preserve">05</w:t>
            </w:r>
          </w:p>
        </w:tc>
        <w:tc>
          <w:tcPr/>
          <w:p>
            <w:pPr>
              <w:pStyle w:val="Compact"/>
              <w:jc w:val="left"/>
            </w:pPr>
            <w:r>
              <w:t xml:space="preserve">Military Officer Officer's Cap &amp; Beret (Branch-Specific)</w:t>
            </w:r>
          </w:p>
        </w:tc>
        <w:tc>
          <w:tcPr/>
          <w:p>
            <w:pPr>
              <w:pStyle w:val="Compact"/>
              <w:jc w:val="left"/>
            </w:pPr>
            <w:r>
              <w:t xml:space="preserve">Army Green Beret, Service Cap with TSK Emblem</w:t>
            </w:r>
          </w:p>
        </w:tc>
        <w:tc>
          <w:tcPr/>
          <w:p>
            <w:pPr>
              <w:pStyle w:val="Compact"/>
              <w:jc w:val="left"/>
            </w:pPr>
            <w:r>
              <w:t xml:space="preserve">500</w:t>
            </w:r>
          </w:p>
        </w:tc>
        <w:tc>
          <w:tcPr/>
          <w:p>
            <w:pPr>
              <w:pStyle w:val="Compact"/>
              <w:jc w:val="left"/>
            </w:pPr>
            <w:r>
              <w:t xml:space="preserve">650.00</w:t>
            </w:r>
          </w:p>
        </w:tc>
        <w:tc>
          <w:tcPr/>
          <w:p>
            <w:pPr>
              <w:pStyle w:val="Compact"/>
              <w:jc w:val="left"/>
            </w:pPr>
            <w:r>
              <w:t xml:space="preserve">325,000.00</w:t>
            </w:r>
          </w:p>
        </w:tc>
      </w:tr>
      <w:tr>
        <w:tc>
          <w:tcPr/>
          <w:p>
            <w:pPr>
              <w:pStyle w:val="Compact"/>
              <w:jc w:val="left"/>
            </w:pPr>
            <w:r>
              <w:t xml:space="preserve">06</w:t>
            </w:r>
          </w:p>
        </w:tc>
        <w:tc>
          <w:tcPr/>
          <w:p>
            <w:pPr>
              <w:pStyle w:val="Compact"/>
              <w:jc w:val="left"/>
            </w:pPr>
            <w:r>
              <w:t xml:space="preserve">Military Officer Personal Identification Kit (Dog Tags, ID Card Holder)</w:t>
            </w:r>
          </w:p>
        </w:tc>
        <w:tc>
          <w:tcPr/>
          <w:p>
            <w:pPr>
              <w:pStyle w:val="Compact"/>
              <w:jc w:val="left"/>
            </w:pPr>
            <w:r>
              <w:t xml:space="preserve">Stainless steel, encrypted RFID chip, Ankara registry</w:t>
            </w:r>
          </w:p>
        </w:tc>
        <w:tc>
          <w:tcPr/>
          <w:p>
            <w:pPr>
              <w:pStyle w:val="Compact"/>
              <w:jc w:val="left"/>
            </w:pPr>
            <w:r>
              <w:t xml:space="preserve">500</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07</w:t>
            </w:r>
          </w:p>
        </w:tc>
        <w:tc>
          <w:tcPr/>
          <w:p>
            <w:pPr>
              <w:pStyle w:val="Compact"/>
              <w:jc w:val="left"/>
            </w:pPr>
            <w:r>
              <w:t xml:space="preserve">Military Officer Field Ration Pack (30-Day Supply)</w:t>
            </w:r>
          </w:p>
        </w:tc>
        <w:tc>
          <w:tcPr/>
          <w:p>
            <w:pPr>
              <w:pStyle w:val="Compact"/>
              <w:jc w:val="left"/>
            </w:pPr>
            <w:r>
              <w:t xml:space="preserve">TSK Nutritional Standard, vacuum-sealed, 12-month shelf life</w:t>
            </w:r>
          </w:p>
        </w:tc>
        <w:tc>
          <w:tcPr/>
          <w:p>
            <w:pPr>
              <w:pStyle w:val="Compact"/>
              <w:jc w:val="left"/>
            </w:pPr>
            <w:r>
              <w:t xml:space="preserve">500</w:t>
            </w:r>
          </w:p>
        </w:tc>
        <w:tc>
          <w:tcPr/>
          <w:p>
            <w:pPr>
              <w:pStyle w:val="Compact"/>
              <w:jc w:val="left"/>
            </w:pPr>
            <w:r>
              <w:t xml:space="preserve">2,400.00</w:t>
            </w:r>
          </w:p>
        </w:tc>
        <w:tc>
          <w:tcPr/>
          <w:p>
            <w:pPr>
              <w:pStyle w:val="Compact"/>
              <w:jc w:val="left"/>
            </w:pPr>
            <w:r>
              <w:t xml:space="preserve">1,200,000.00</w:t>
            </w:r>
          </w:p>
        </w:tc>
      </w:tr>
      <w:tr>
        <w:tc>
          <w:tcPr>
            <w:gridSpan w:val="5"/>
          </w:tcPr>
          <w:p>
            <w:pPr>
              <w:pStyle w:val="Compact"/>
              <w:jc w:val="right"/>
            </w:pPr>
            <w:r>
              <w:t xml:space="preserve">GRAND TOTAL (TRY)</w:t>
            </w:r>
          </w:p>
        </w:tc>
        <w:tc>
          <w:tcPr/>
          <w:p>
            <w:pPr>
              <w:pStyle w:val="Compact"/>
              <w:jc w:val="left"/>
            </w:pPr>
            <w:r>
              <w:t xml:space="preserve">9,685,000.00</w:t>
            </w:r>
          </w:p>
        </w:tc>
      </w:tr>
    </w:tbl>
    <w:bookmarkEnd w:id="23"/>
    <w:bookmarkStart w:id="24" w:name="delivery-terms-conditions"/>
    <w:p>
      <w:pPr>
        <w:pStyle w:val="Heading2"/>
      </w:pPr>
      <w:r>
        <w:t xml:space="preserve">4. Delivery Terms &amp; Conditions</w:t>
      </w:r>
    </w:p>
    <w:p>
      <w:pPr>
        <w:numPr>
          <w:ilvl w:val="0"/>
          <w:numId w:val="1001"/>
        </w:numPr>
        <w:pStyle w:val="Compact"/>
      </w:pPr>
      <w:r>
        <w:rPr>
          <w:bCs/>
          <w:b/>
        </w:rPr>
        <w:t xml:space="preserve">Delivery Location:</w:t>
      </w:r>
      <w:r>
        <w:t xml:space="preserve"> </w:t>
      </w:r>
      <w:r>
        <w:t xml:space="preserve">All items under this Purchase Order shall be delivered to the Military Officer Training and Readiness Center, Gölbaşı District, Ankara, Turkey. The vendor is responsible for all transportation, insurance, and handling costs up to the point of receipt in Ankara.</w:t>
      </w:r>
    </w:p>
    <w:p>
      <w:pPr>
        <w:numPr>
          <w:ilvl w:val="0"/>
          <w:numId w:val="1001"/>
        </w:numPr>
        <w:pStyle w:val="Compact"/>
      </w:pPr>
      <w:r>
        <w:rPr>
          <w:bCs/>
          <w:b/>
        </w:rPr>
        <w:t xml:space="preserve">Delivery Deadline:</w:t>
      </w:r>
      <w:r>
        <w:t xml:space="preserve"> </w:t>
      </w:r>
      <w:r>
        <w:t xml:space="preserve">Complete delivery of all line items shall be no later than 30 July 2025. Partial deliveries are permitted provided that each shipment is accompanied by a corresponding delivery note referencing this Purchase Order number (TR-ANK-2025-MIL-04782).</w:t>
      </w:r>
    </w:p>
    <w:p>
      <w:pPr>
        <w:numPr>
          <w:ilvl w:val="0"/>
          <w:numId w:val="1001"/>
        </w:numPr>
        <w:pStyle w:val="Compact"/>
      </w:pPr>
      <w:r>
        <w:rPr>
          <w:bCs/>
          <w:b/>
        </w:rPr>
        <w:t xml:space="preserve">Payment Terms:</w:t>
      </w:r>
      <w:r>
        <w:t xml:space="preserve"> </w:t>
      </w:r>
      <w:r>
        <w:t xml:space="preserve">Payment shall be made within 45 (forty-five) calendar days of verified receipt and acceptance of goods at the Ankara facility. Payment shall be processed via bank transfer to the vendor account specified in Section 2. All transactions are subject to the Turkish Public Procurement Law (Law No. 4734) and applicable military procurement regulations.</w:t>
      </w:r>
    </w:p>
    <w:p>
      <w:pPr>
        <w:numPr>
          <w:ilvl w:val="0"/>
          <w:numId w:val="1001"/>
        </w:numPr>
        <w:pStyle w:val="Compact"/>
      </w:pPr>
      <w:r>
        <w:rPr>
          <w:bCs/>
          <w:b/>
        </w:rPr>
        <w:t xml:space="preserve">Quality Assurance:</w:t>
      </w:r>
      <w:r>
        <w:t xml:space="preserve"> </w:t>
      </w:r>
      <w:r>
        <w:t xml:space="preserve">Every Military Officer uniform, insignia set, and equipment item must bear the official TSK quality seal and a unique serial number registered in the Ankara central procurement database. Non-conforming items will be rejected at the vendor's expense.</w:t>
      </w:r>
    </w:p>
    <w:p>
      <w:pPr>
        <w:numPr>
          <w:ilvl w:val="0"/>
          <w:numId w:val="1001"/>
        </w:numPr>
        <w:pStyle w:val="Compact"/>
      </w:pPr>
      <w:r>
        <w:rPr>
          <w:bCs/>
          <w:b/>
        </w:rPr>
        <w:t xml:space="preserve">Warranty:</w:t>
      </w:r>
      <w:r>
        <w:t xml:space="preserve"> </w:t>
      </w:r>
      <w:r>
        <w:t xml:space="preserve">The vendor shall provide a minimum 24-month warranty on all tactical and ballistic equipment. Uniforms and textile items carry a 12-month warranty against manufacturing defects.</w:t>
      </w:r>
    </w:p>
    <w:p>
      <w:pPr>
        <w:numPr>
          <w:ilvl w:val="0"/>
          <w:numId w:val="1001"/>
        </w:numPr>
        <w:pStyle w:val="Compact"/>
      </w:pPr>
      <w:r>
        <w:rPr>
          <w:bCs/>
          <w:b/>
        </w:rPr>
        <w:t xml:space="preserve">Compliance:</w:t>
      </w:r>
      <w:r>
        <w:t xml:space="preserve"> </w:t>
      </w:r>
      <w:r>
        <w:t xml:space="preserve">The vendor certifies that all products comply with the Republic of Turkey's defense procurement standards, NATO interoperability guidelines where applicable, and all environmental regulations enforced within Ankara and the broader Turkish jurisdiction.</w:t>
      </w:r>
    </w:p>
    <w:p>
      <w:pPr>
        <w:numPr>
          <w:ilvl w:val="0"/>
          <w:numId w:val="1001"/>
        </w:numPr>
        <w:pStyle w:val="Compact"/>
      </w:pPr>
      <w:r>
        <w:rPr>
          <w:bCs/>
          <w:b/>
        </w:rPr>
        <w:t xml:space="preserve">Confidentiality:</w:t>
      </w:r>
      <w:r>
        <w:t xml:space="preserve"> </w:t>
      </w:r>
      <w:r>
        <w:t xml:space="preserve">All information contained in this Purchase Order, including Military Officer personnel counts, unit designations, and Ankara facility locations, is classified as RESTRICTED. Unauthorized disclosure is a violation of Turkish military law (Law No. 5271) and shall be subject to criminal prosecution.</w:t>
      </w:r>
    </w:p>
    <w:p>
      <w:pPr>
        <w:numPr>
          <w:ilvl w:val="0"/>
          <w:numId w:val="1001"/>
        </w:numPr>
        <w:pStyle w:val="Compact"/>
      </w:pPr>
      <w:r>
        <w:rPr>
          <w:bCs/>
          <w:b/>
        </w:rPr>
        <w:t xml:space="preserve">Dispute Resolution:</w:t>
      </w:r>
      <w:r>
        <w:t xml:space="preserve"> </w:t>
      </w:r>
      <w:r>
        <w:t xml:space="preserve">Any disputes arising from this Purchase Order shall be resolved through the Ankara Regional Court of Justice in accordance with Turkish civil and commercial law. The governing law of this document is the law of the Republic of Turkey.</w:t>
      </w:r>
    </w:p>
    <w:bookmarkEnd w:id="24"/>
    <w:bookmarkStart w:id="25" w:name="authorization-signatures"/>
    <w:p>
      <w:pPr>
        <w:pStyle w:val="Heading2"/>
      </w:pPr>
      <w:r>
        <w:t xml:space="preserve">5. Authorization &amp; Signatures</w:t>
      </w:r>
    </w:p>
    <w:p>
      <w:pPr>
        <w:pStyle w:val="FirstParagraph"/>
      </w:pPr>
      <w:r>
        <w:t xml:space="preserve">This Purchase Order is hereby authorized and made effective upon the signatures of the undersigned. By signing, both parties acknowledge that all terms, conditions, and specifications outlined in this document are binding and enforceable under the laws of the Republic of Turkey. The Military Officer equipment described herein is intended exclusively for the use of commissioned officers of the Turkish Armed Forces stationed in and around Ankara, Turkey, and shall not be transferred, resold, or diverted to any other entity without written authorization from the General Staff.</w:t>
      </w:r>
    </w:p>
    <w:p>
      <w:pPr>
        <w:pStyle w:val="BodyText"/>
      </w:pPr>
      <w:r>
        <w:rPr>
          <w:bCs/>
          <w:b/>
        </w:rPr>
        <w:t xml:space="preserve">For the Purchasing Authority</w:t>
      </w:r>
    </w:p>
    <w:p>
      <w:pPr>
        <w:pStyle w:val="BodyText"/>
      </w:pPr>
      <w:r>
        <w:t xml:space="preserve">Colonel Emre Kaya</w:t>
      </w:r>
    </w:p>
    <w:p>
      <w:pPr>
        <w:pStyle w:val="BodyText"/>
      </w:pPr>
      <w:r>
        <w:t xml:space="preserve">Procurement Division, General Staff</w:t>
      </w:r>
    </w:p>
    <w:p>
      <w:pPr>
        <w:pStyle w:val="BodyText"/>
      </w:pPr>
      <w:r>
        <w:t xml:space="preserve">Ankara, Turkey</w:t>
      </w:r>
    </w:p>
    <w:p>
      <w:pPr>
        <w:pStyle w:val="BodyText"/>
      </w:pPr>
      <w:r>
        <w:t xml:space="preserve">Signature &amp; Official Seal</w:t>
      </w:r>
    </w:p>
    <w:p>
      <w:pPr>
        <w:pStyle w:val="BodyText"/>
      </w:pPr>
      <w:r>
        <w:rPr>
          <w:bCs/>
          <w:b/>
        </w:rPr>
        <w:t xml:space="preserve">For the Vendor</w:t>
      </w:r>
    </w:p>
    <w:p>
      <w:pPr>
        <w:pStyle w:val="BodyText"/>
      </w:pPr>
      <w:r>
        <w:t xml:space="preserve">Mr. Selim Aydın</w:t>
      </w:r>
    </w:p>
    <w:p>
      <w:pPr>
        <w:pStyle w:val="BodyText"/>
      </w:pPr>
      <w:r>
        <w:t xml:space="preserve">CEO, Anadolu Savunma Sistemleri A.Ş.</w:t>
      </w:r>
    </w:p>
    <w:p>
      <w:pPr>
        <w:pStyle w:val="BodyText"/>
      </w:pPr>
      <w:r>
        <w:t xml:space="preserve">Ankara, Turkey</w:t>
      </w:r>
    </w:p>
    <w:p>
      <w:pPr>
        <w:pStyle w:val="BodyText"/>
      </w:pPr>
      <w:r>
        <w:t xml:space="preserve">Signature &amp; Company Stamp</w:t>
      </w:r>
    </w:p>
    <w:bookmarkEnd w:id="25"/>
    <w:p>
      <w:pPr>
        <w:pStyle w:val="BodyText"/>
      </w:pPr>
      <w:r>
        <w:rPr>
          <w:bCs/>
          <w:b/>
        </w:rPr>
        <w:t xml:space="preserve">Purchase Order No: TR-ANK-2025-MIL-04782</w:t>
      </w:r>
      <w:r>
        <w:t xml:space="preserve"> </w:t>
      </w:r>
      <w:r>
        <w:t xml:space="preserve">| Issued in Ankara, Turkey | 14 June 2025</w:t>
      </w:r>
    </w:p>
    <w:p>
      <w:pPr>
        <w:pStyle w:val="BodyText"/>
      </w:pPr>
      <w:r>
        <w:t xml:space="preserve">This document is the property of the Turkish Armed Forces. Unauthorized reproduction or distribution is strictly prohibited.</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Turkey Ankara</dc:title>
  <dc:creator/>
  <dc:language>en</dc:language>
  <cp:keywords/>
  <dcterms:created xsi:type="dcterms:W3CDTF">2026-10-10T04:49:18Z</dcterms:created>
  <dcterms:modified xsi:type="dcterms:W3CDTF">2026-10-10T04:49:18Z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