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Nurse</w:t>
      </w:r>
      <w:r>
        <w:t xml:space="preserve"> </w:t>
      </w:r>
      <w:r>
        <w:t xml:space="preserve">Services</w:t>
      </w:r>
      <w:r>
        <w:t xml:space="preserve"> </w:t>
      </w:r>
      <w:r>
        <w:t xml:space="preserve">-</w:t>
      </w:r>
      <w:r>
        <w:t xml:space="preserve"> </w:t>
      </w:r>
      <w:r>
        <w:t xml:space="preserve">Alexandria,</w:t>
      </w:r>
      <w:r>
        <w:t xml:space="preserve"> </w:t>
      </w:r>
      <w:r>
        <w:t xml:space="preserve">Egypt</w:t>
      </w:r>
    </w:p>
    <w:bookmarkStart w:id="20" w:name="purchase-order"/>
    <w:p>
      <w:pPr>
        <w:pStyle w:val="Heading1"/>
      </w:pPr>
      <w:r>
        <w:t xml:space="preserve">PURCHASE ORDER</w:t>
      </w:r>
    </w:p>
    <w:p>
      <w:pPr>
        <w:pStyle w:val="FirstParagraph"/>
      </w:pPr>
      <w:r>
        <w:t xml:space="preserve">Procurement of Licensed Nurse Services — Alexandria, Egypt</w:t>
      </w:r>
    </w:p>
    <w:p>
      <w:pPr>
        <w:pStyle w:val="BodyText"/>
      </w:pPr>
      <w:r>
        <w:t xml:space="preserve">Document Reference: PO-EGY-ALX-2025-04782</w:t>
      </w:r>
    </w:p>
    <w:bookmarkEnd w:id="20"/>
    <w:p>
      <w:pPr>
        <w:pStyle w:val="BodyText"/>
      </w:pPr>
      <w:r>
        <w:rPr>
          <w:bCs/>
          <w:b/>
        </w:rPr>
        <w:t xml:space="preserve">Purchase Order No.:</w:t>
      </w:r>
      <w:r>
        <w:t xml:space="preserve"> </w:t>
      </w:r>
      <w:r>
        <w:t xml:space="preserve">PO-EGY-ALX-2025-04782</w:t>
      </w:r>
      <w:r>
        <w:br/>
      </w:r>
      <w:r>
        <w:rPr>
          <w:bCs/>
          <w:b/>
        </w:rPr>
        <w:t xml:space="preserve">Date of Issue:</w:t>
      </w:r>
      <w:r>
        <w:t xml:space="preserve"> </w:t>
      </w:r>
      <w:r>
        <w:t xml:space="preserve">14 June 2025</w:t>
      </w:r>
      <w:r>
        <w:br/>
      </w:r>
      <w:r>
        <w:rPr>
          <w:bCs/>
          <w:b/>
        </w:rPr>
        <w:t xml:space="preserve">Valid Until:</w:t>
      </w:r>
      <w:r>
        <w:t xml:space="preserve"> </w:t>
      </w:r>
      <w:r>
        <w:t xml:space="preserve">14 July 2025</w:t>
      </w:r>
      <w:r>
        <w:br/>
      </w:r>
      <w:r>
        <w:rPr>
          <w:bCs/>
          <w:b/>
        </w:rPr>
        <w:t xml:space="preserve">Currency:</w:t>
      </w:r>
      <w:r>
        <w:t xml:space="preserve"> </w:t>
      </w:r>
      <w:r>
        <w:t xml:space="preserve">Egyptian Pound (EGP)</w:t>
      </w:r>
    </w:p>
    <w:p>
      <w:pPr>
        <w:pStyle w:val="BodyText"/>
      </w:pPr>
      <w:r>
        <w:rPr>
          <w:bCs/>
          <w:b/>
        </w:rPr>
        <w:t xml:space="preserve">Issued By:</w:t>
      </w:r>
      <w:r>
        <w:t xml:space="preserve"> </w:t>
      </w:r>
      <w:r>
        <w:t xml:space="preserve">Alexandria Coastal Medical Group</w:t>
      </w:r>
      <w:r>
        <w:br/>
      </w:r>
      <w:r>
        <w:rPr>
          <w:bCs/>
          <w:b/>
        </w:rPr>
        <w:t xml:space="preserve">Address:</w:t>
      </w:r>
      <w:r>
        <w:t xml:space="preserve"> </w:t>
      </w:r>
      <w:r>
        <w:t xml:space="preserve">42 Corniche El-Nil Street, Smouha District,</w:t>
      </w:r>
      <w:r>
        <w:br/>
      </w:r>
      <w:r>
        <w:t xml:space="preserve">Alexandria, 21543, Egypt</w:t>
      </w:r>
      <w:r>
        <w:br/>
      </w:r>
      <w:r>
        <w:rPr>
          <w:bCs/>
          <w:b/>
        </w:rPr>
        <w:t xml:space="preserve">Tax ID (VAT):</w:t>
      </w:r>
      <w:r>
        <w:t xml:space="preserve"> </w:t>
      </w:r>
      <w:r>
        <w:t xml:space="preserve">552-847-193-002</w:t>
      </w:r>
      <w:r>
        <w:br/>
      </w:r>
      <w:r>
        <w:rPr>
          <w:bCs/>
          <w:b/>
        </w:rPr>
        <w:t xml:space="preserve">Contact:</w:t>
      </w:r>
      <w:r>
        <w:t xml:space="preserve"> </w:t>
      </w:r>
      <w:r>
        <w:t xml:space="preserve">procurement@alexcoastalmed.eg</w:t>
      </w:r>
    </w:p>
    <w:p>
      <w:pPr>
        <w:pStyle w:val="BodyText"/>
      </w:pPr>
      <w:r>
        <w:t xml:space="preserve">1. Supplier / Service Provider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Provider Name:</w:t>
            </w:r>
          </w:p>
        </w:tc>
        <w:tc>
          <w:tcPr/>
          <w:p>
            <w:pPr>
              <w:pStyle w:val="Compact"/>
              <w:jc w:val="left"/>
            </w:pPr>
            <w:r>
              <w:t xml:space="preserve">Alexandria Elite Nursing &amp; Healthcare Staffing Co. (AENHS)</w:t>
            </w:r>
          </w:p>
        </w:tc>
      </w:tr>
      <w:tr>
        <w:tc>
          <w:tcPr/>
          <w:p>
            <w:pPr>
              <w:pStyle w:val="Compact"/>
              <w:jc w:val="left"/>
            </w:pPr>
            <w:r>
              <w:rPr>
                <w:bCs/>
                <w:b/>
              </w:rPr>
              <w:t xml:space="preserve">Address:</w:t>
            </w:r>
          </w:p>
        </w:tc>
        <w:tc>
          <w:tcPr/>
          <w:p>
            <w:pPr>
              <w:pStyle w:val="Compact"/>
              <w:jc w:val="left"/>
            </w:pPr>
            <w:r>
              <w:t xml:space="preserve">18 El-Gomrok Road, El-Montaza, Alexandria, 21941, Egypt</w:t>
            </w:r>
          </w:p>
        </w:tc>
      </w:tr>
      <w:tr>
        <w:tc>
          <w:tcPr/>
          <w:p>
            <w:pPr>
              <w:pStyle w:val="Compact"/>
              <w:jc w:val="left"/>
            </w:pPr>
            <w:r>
              <w:rPr>
                <w:bCs/>
                <w:b/>
              </w:rPr>
              <w:t xml:space="preserve">Commercial Registration:</w:t>
            </w:r>
          </w:p>
        </w:tc>
        <w:tc>
          <w:tcPr/>
          <w:p>
            <w:pPr>
              <w:pStyle w:val="Compact"/>
              <w:jc w:val="left"/>
            </w:pPr>
            <w:r>
              <w:t xml:space="preserve">CR-198-4427-Alexandria</w:t>
            </w:r>
          </w:p>
        </w:tc>
      </w:tr>
      <w:tr>
        <w:tc>
          <w:tcPr/>
          <w:p>
            <w:pPr>
              <w:pStyle w:val="Compact"/>
              <w:jc w:val="left"/>
            </w:pPr>
            <w:r>
              <w:rPr>
                <w:bCs/>
                <w:b/>
              </w:rPr>
              <w:t xml:space="preserve">VAT Number:</w:t>
            </w:r>
          </w:p>
        </w:tc>
        <w:tc>
          <w:tcPr/>
          <w:p>
            <w:pPr>
              <w:pStyle w:val="Compact"/>
              <w:jc w:val="left"/>
            </w:pPr>
            <w:r>
              <w:t xml:space="preserve">554-221-887-001</w:t>
            </w:r>
          </w:p>
        </w:tc>
      </w:tr>
      <w:tr>
        <w:tc>
          <w:tcPr/>
          <w:p>
            <w:pPr>
              <w:pStyle w:val="Compact"/>
              <w:jc w:val="left"/>
            </w:pPr>
            <w:r>
              <w:rPr>
                <w:bCs/>
                <w:b/>
              </w:rPr>
              <w:t xml:space="preserve">Ministry of Health License:</w:t>
            </w:r>
          </w:p>
        </w:tc>
        <w:tc>
          <w:tcPr/>
          <w:p>
            <w:pPr>
              <w:pStyle w:val="Compact"/>
              <w:jc w:val="left"/>
            </w:pPr>
            <w:r>
              <w:t xml:space="preserve">MOH-EGY-ALX-NRS-2024-0091 (Valid through 12/2026)</w:t>
            </w:r>
          </w:p>
        </w:tc>
      </w:tr>
      <w:tr>
        <w:tc>
          <w:tcPr/>
          <w:p>
            <w:pPr>
              <w:pStyle w:val="Compact"/>
              <w:jc w:val="left"/>
            </w:pPr>
            <w:r>
              <w:rPr>
                <w:bCs/>
                <w:b/>
              </w:rPr>
              <w:t xml:space="preserve">Contact Person:</w:t>
            </w:r>
          </w:p>
        </w:tc>
        <w:tc>
          <w:tcPr/>
          <w:p>
            <w:pPr>
              <w:pStyle w:val="Compact"/>
              <w:jc w:val="left"/>
            </w:pPr>
            <w:r>
              <w:t xml:space="preserve">Dr. Layla Hassan, Director of Nursing Operations</w:t>
            </w:r>
          </w:p>
        </w:tc>
      </w:tr>
      <w:tr>
        <w:tc>
          <w:tcPr/>
          <w:p>
            <w:pPr>
              <w:pStyle w:val="Compact"/>
              <w:jc w:val="left"/>
            </w:pPr>
            <w:r>
              <w:rPr>
                <w:bCs/>
                <w:b/>
              </w:rPr>
              <w:t xml:space="preserve">Phone / Email:</w:t>
            </w:r>
          </w:p>
        </w:tc>
        <w:tc>
          <w:tcPr/>
          <w:p>
            <w:pPr>
              <w:pStyle w:val="Compact"/>
              <w:jc w:val="left"/>
            </w:pPr>
            <w:r>
              <w:t xml:space="preserve">+20 3 482 7710  |  operations@aenhs-alexandria.eg</w:t>
            </w:r>
          </w:p>
        </w:tc>
      </w:tr>
    </w:tbl>
    <w:p>
      <w:pPr>
        <w:pStyle w:val="BodyText"/>
      </w:pPr>
      <w:r>
        <w:t xml:space="preserve">2. Scope of Purchase — Nurse Services</w:t>
      </w:r>
    </w:p>
    <w:p>
      <w:pPr>
        <w:pStyle w:val="BodyText"/>
      </w:pPr>
      <w:r>
        <w:t xml:space="preserve">This Purchase Order is issued by Alexandria Coastal Medical Group for the procurement of qualified, licensed Nurse services to be deployed across our outpatient and inpatient facilities located in the Alexandria metropolitan area, Egypt. The Nurse(s) engaged under this Purchase Order shall hold a valid Egyptian nursing license issued by the Ministry of Health and Population, possess a minimum of five (5) years of clinical experience in acute and chronic care, and be fluent in both Arabic and English to serve the diverse patient population of Alexandria.</w:t>
      </w:r>
    </w:p>
    <w:p>
      <w:pPr>
        <w:pStyle w:val="BodyText"/>
      </w:pPr>
      <w:r>
        <w:t xml:space="preserve">3. Line Items — Nurse Service Breakdown</w:t>
      </w:r>
    </w:p>
    <w:tbl>
      <w:tblPr>
        <w:tblStyle w:val="Table"/>
        <w:tblW w:type="auto" w:w="0"/>
        <w:tblLook w:firstRow="1" w:lastRow="0" w:firstColumn="0" w:lastColumn="0" w:noHBand="0" w:noVBand="0" w:val="0020"/>
      </w:tblPr>
      <w:tblGrid>
        <w:gridCol w:w="1131"/>
        <w:gridCol w:w="1131"/>
        <w:gridCol w:w="1131"/>
        <w:gridCol w:w="1131"/>
        <w:gridCol w:w="1131"/>
        <w:gridCol w:w="1131"/>
        <w:gridCol w:w="1131"/>
      </w:tblGrid>
      <w:tr>
        <w:trPr>
          <w:tblHeader w:val="true"/>
        </w:trPr>
        <w:tc>
          <w:tcPr/>
          <w:p>
            <w:pPr>
              <w:pStyle w:val="Compact"/>
              <w:jc w:val="left"/>
            </w:pPr>
            <w:r>
              <w:t xml:space="preserve">#</w:t>
            </w:r>
          </w:p>
        </w:tc>
        <w:tc>
          <w:tcPr/>
          <w:p>
            <w:pPr>
              <w:pStyle w:val="Compact"/>
              <w:jc w:val="left"/>
            </w:pPr>
            <w:r>
              <w:t xml:space="preserve">Description of Nurse Service</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(EGP)</w:t>
            </w:r>
          </w:p>
        </w:tc>
        <w:tc>
          <w:tcPr/>
          <w:p>
            <w:pPr>
              <w:pStyle w:val="Compact"/>
              <w:jc w:val="left"/>
            </w:pPr>
            <w:r>
              <w:t xml:space="preserve">Total (EGP)</w:t>
            </w:r>
          </w:p>
        </w:tc>
        <w:tc>
          <w:tcPr/>
          <w:p>
            <w:pPr>
              <w:pStyle w:val="Compact"/>
              <w:jc w:val="left"/>
            </w:pPr>
            <w:r>
              <w:t xml:space="preserve">Duration</w:t>
            </w:r>
          </w:p>
        </w:tc>
      </w:tr>
      <w:tr>
        <w:tc>
          <w:tcPr/>
          <w:p>
            <w:pPr>
              <w:pStyle w:val="Compact"/>
              <w:jc w:val="left"/>
            </w:pPr>
            <w:r>
              <w:t xml:space="preserve">1</w:t>
            </w:r>
          </w:p>
        </w:tc>
        <w:tc>
          <w:tcPr/>
          <w:p>
            <w:pPr>
              <w:pStyle w:val="Compact"/>
              <w:jc w:val="left"/>
            </w:pPr>
            <w:r>
              <w:t xml:space="preserve">Senior Registered Nurse (RN) — Inpatient Ward Care, 12-hour shifts, 5 days/week. Must hold Egyptian MOH nursing license and B.Sc. in Nursing. Assigned to Alexandria Coastal Medical Group, Smouha Main Hospital.</w:t>
            </w:r>
          </w:p>
        </w:tc>
        <w:tc>
          <w:tcPr/>
          <w:p>
            <w:pPr>
              <w:pStyle w:val="Compact"/>
              <w:jc w:val="left"/>
            </w:pPr>
            <w:r>
              <w:t xml:space="preserve">2</w:t>
            </w:r>
          </w:p>
        </w:tc>
        <w:tc>
          <w:tcPr/>
          <w:p>
            <w:pPr>
              <w:pStyle w:val="Compact"/>
              <w:jc w:val="left"/>
            </w:pPr>
            <w:r>
              <w:t xml:space="preserve">Nurse</w:t>
            </w:r>
          </w:p>
        </w:tc>
        <w:tc>
          <w:tcPr/>
          <w:p>
            <w:pPr>
              <w:pStyle w:val="Compact"/>
              <w:jc w:val="left"/>
            </w:pPr>
            <w:r>
              <w:t xml:space="preserve">18,500.00</w:t>
            </w:r>
          </w:p>
        </w:tc>
        <w:tc>
          <w:tcPr/>
          <w:p>
            <w:pPr>
              <w:pStyle w:val="Compact"/>
              <w:jc w:val="left"/>
            </w:pPr>
            <w:r>
              <w:t xml:space="preserve">37,000.00</w:t>
            </w:r>
          </w:p>
        </w:tc>
        <w:tc>
          <w:tcPr/>
          <w:p>
            <w:pPr>
              <w:pStyle w:val="Compact"/>
              <w:jc w:val="left"/>
            </w:pPr>
            <w:r>
              <w:t xml:space="preserve">12 months</w:t>
            </w:r>
          </w:p>
        </w:tc>
      </w:tr>
      <w:tr>
        <w:tc>
          <w:tcPr/>
          <w:p>
            <w:pPr>
              <w:pStyle w:val="Compact"/>
              <w:jc w:val="left"/>
            </w:pPr>
            <w:r>
              <w:t xml:space="preserve">2</w:t>
            </w:r>
          </w:p>
        </w:tc>
        <w:tc>
          <w:tcPr/>
          <w:p>
            <w:pPr>
              <w:pStyle w:val="Compact"/>
              <w:jc w:val="left"/>
            </w:pPr>
            <w:r>
              <w:t xml:space="preserve">Registered Nurse (RN) — Outpatient &amp; Emergency Department Support, 8-hour shifts, 6 days/week. Minimum 3 years ER experience in Alexandria public or private hospitals.</w:t>
            </w:r>
          </w:p>
        </w:tc>
        <w:tc>
          <w:tcPr/>
          <w:p>
            <w:pPr>
              <w:pStyle w:val="Compact"/>
              <w:jc w:val="left"/>
            </w:pPr>
            <w:r>
              <w:t xml:space="preserve">3</w:t>
            </w:r>
          </w:p>
        </w:tc>
        <w:tc>
          <w:tcPr/>
          <w:p>
            <w:pPr>
              <w:pStyle w:val="Compact"/>
              <w:jc w:val="left"/>
            </w:pPr>
            <w:r>
              <w:t xml:space="preserve">Nurse</w:t>
            </w:r>
          </w:p>
        </w:tc>
        <w:tc>
          <w:tcPr/>
          <w:p>
            <w:pPr>
              <w:pStyle w:val="Compact"/>
              <w:jc w:val="left"/>
            </w:pPr>
            <w:r>
              <w:t xml:space="preserve">14,200.00</w:t>
            </w:r>
          </w:p>
        </w:tc>
        <w:tc>
          <w:tcPr/>
          <w:p>
            <w:pPr>
              <w:pStyle w:val="Compact"/>
              <w:jc w:val="left"/>
            </w:pPr>
            <w:r>
              <w:t xml:space="preserve">42,600.00</w:t>
            </w:r>
          </w:p>
        </w:tc>
        <w:tc>
          <w:tcPr/>
          <w:p>
            <w:pPr>
              <w:pStyle w:val="Compact"/>
              <w:jc w:val="left"/>
            </w:pPr>
            <w:r>
              <w:t xml:space="preserve">12 months</w:t>
            </w:r>
          </w:p>
        </w:tc>
      </w:tr>
      <w:tr>
        <w:tc>
          <w:tcPr/>
          <w:p>
            <w:pPr>
              <w:pStyle w:val="Compact"/>
              <w:jc w:val="left"/>
            </w:pPr>
            <w:r>
              <w:t xml:space="preserve">3</w:t>
            </w:r>
          </w:p>
        </w:tc>
        <w:tc>
          <w:tcPr/>
          <w:p>
            <w:pPr>
              <w:pStyle w:val="Compact"/>
              <w:jc w:val="left"/>
            </w:pPr>
            <w:r>
              <w:t xml:space="preserve">Specialized Nurse — Oncology &amp; Chemotherapy Administration, 10-hour shifts, 5 days/week. Must hold post-graduate certification in oncology nursing recognized by the Egyptian Nursing Association.</w:t>
            </w:r>
          </w:p>
        </w:tc>
        <w:tc>
          <w:tcPr/>
          <w:p>
            <w:pPr>
              <w:pStyle w:val="Compact"/>
              <w:jc w:val="left"/>
            </w:pPr>
            <w:r>
              <w:t xml:space="preserve">1</w:t>
            </w:r>
          </w:p>
        </w:tc>
        <w:tc>
          <w:tcPr/>
          <w:p>
            <w:pPr>
              <w:pStyle w:val="Compact"/>
              <w:jc w:val="left"/>
            </w:pPr>
            <w:r>
              <w:t xml:space="preserve">Nurse</w:t>
            </w:r>
          </w:p>
        </w:tc>
        <w:tc>
          <w:tcPr/>
          <w:p>
            <w:pPr>
              <w:pStyle w:val="Compact"/>
              <w:jc w:val="left"/>
            </w:pPr>
            <w:r>
              <w:t xml:space="preserve">22,000.00</w:t>
            </w:r>
          </w:p>
        </w:tc>
        <w:tc>
          <w:tcPr/>
          <w:p>
            <w:pPr>
              <w:pStyle w:val="Compact"/>
              <w:jc w:val="left"/>
            </w:pPr>
            <w:r>
              <w:t xml:space="preserve">22,000.00</w:t>
            </w:r>
          </w:p>
        </w:tc>
        <w:tc>
          <w:tcPr/>
          <w:p>
            <w:pPr>
              <w:pStyle w:val="Compact"/>
              <w:jc w:val="left"/>
            </w:pPr>
            <w:r>
              <w:t xml:space="preserve">12 months</w:t>
            </w:r>
          </w:p>
        </w:tc>
      </w:tr>
      <w:tr>
        <w:tc>
          <w:tcPr/>
          <w:p>
            <w:pPr>
              <w:pStyle w:val="Compact"/>
              <w:jc w:val="left"/>
            </w:pPr>
            <w:r>
              <w:t xml:space="preserve">4</w:t>
            </w:r>
          </w:p>
        </w:tc>
        <w:tc>
          <w:tcPr/>
          <w:p>
            <w:pPr>
              <w:pStyle w:val="Compact"/>
              <w:jc w:val="left"/>
            </w:pPr>
            <w:r>
              <w:t xml:space="preserve">Nurse Training &amp; Onboarding Program — Alexandria-specific protocols, infection control per Egyptian MOH guidelines, and facility orientation for all deployed Nurse staff.</w:t>
            </w:r>
          </w:p>
        </w:tc>
        <w:tc>
          <w:tcPr/>
          <w:p>
            <w:pPr>
              <w:pStyle w:val="Compact"/>
              <w:jc w:val="left"/>
            </w:pPr>
            <w:r>
              <w:t xml:space="preserve">1</w:t>
            </w:r>
          </w:p>
        </w:tc>
        <w:tc>
          <w:tcPr/>
          <w:p>
            <w:pPr>
              <w:pStyle w:val="Compact"/>
              <w:jc w:val="left"/>
            </w:pPr>
            <w:r>
              <w:t xml:space="preserve">Package</w:t>
            </w:r>
          </w:p>
        </w:tc>
        <w:tc>
          <w:tcPr/>
          <w:p>
            <w:pPr>
              <w:pStyle w:val="Compact"/>
              <w:jc w:val="left"/>
            </w:pPr>
            <w:r>
              <w:t xml:space="preserve">8,500.00</w:t>
            </w:r>
          </w:p>
        </w:tc>
        <w:tc>
          <w:tcPr/>
          <w:p>
            <w:pPr>
              <w:pStyle w:val="Compact"/>
              <w:jc w:val="left"/>
            </w:pPr>
            <w:r>
              <w:t xml:space="preserve">8,500.00</w:t>
            </w:r>
          </w:p>
        </w:tc>
        <w:tc>
          <w:tcPr/>
          <w:p>
            <w:pPr>
              <w:pStyle w:val="Compact"/>
              <w:jc w:val="left"/>
            </w:pPr>
            <w:r>
              <w:t xml:space="preserve">2 weeks</w:t>
            </w:r>
          </w:p>
        </w:tc>
      </w:tr>
      <w:tr>
        <w:tc>
          <w:tcPr/>
          <w:p>
            <w:pPr>
              <w:pStyle w:val="Compact"/>
              <w:jc w:val="left"/>
            </w:pPr>
            <w:r>
              <w:t xml:space="preserve">5</w:t>
            </w:r>
          </w:p>
        </w:tc>
        <w:tc>
          <w:tcPr/>
          <w:p>
            <w:pPr>
              <w:pStyle w:val="Compact"/>
              <w:jc w:val="left"/>
            </w:pPr>
            <w:r>
              <w:t xml:space="preserve">Supplementary Nurse Coverage — Weekend and public holiday shifts (including Egyptian national holidays) at 1.5× standard rate.</w:t>
            </w:r>
          </w:p>
        </w:tc>
        <w:tc>
          <w:tcPr/>
          <w:p>
            <w:pPr>
              <w:pStyle w:val="Compact"/>
              <w:jc w:val="left"/>
            </w:pPr>
            <w:r>
              <w:t xml:space="preserve">52</w:t>
            </w:r>
          </w:p>
        </w:tc>
        <w:tc>
          <w:tcPr/>
          <w:p>
            <w:pPr>
              <w:pStyle w:val="Compact"/>
              <w:jc w:val="left"/>
            </w:pPr>
            <w:r>
              <w:t xml:space="preserve">Shifts</w:t>
            </w:r>
          </w:p>
        </w:tc>
        <w:tc>
          <w:tcPr/>
          <w:p>
            <w:pPr>
              <w:pStyle w:val="Compact"/>
              <w:jc w:val="left"/>
            </w:pPr>
            <w:r>
              <w:t xml:space="preserve">3,200.00</w:t>
            </w:r>
          </w:p>
        </w:tc>
        <w:tc>
          <w:tcPr/>
          <w:p>
            <w:pPr>
              <w:pStyle w:val="Compact"/>
              <w:jc w:val="left"/>
            </w:pPr>
            <w:r>
              <w:t xml:space="preserve">166,400.00</w:t>
            </w:r>
          </w:p>
        </w:tc>
        <w:tc>
          <w:tcPr/>
          <w:p>
            <w:pPr>
              <w:pStyle w:val="Compact"/>
              <w:jc w:val="left"/>
            </w:pPr>
            <w:r>
              <w:t xml:space="preserve">12 months</w:t>
            </w:r>
          </w:p>
        </w:tc>
      </w:tr>
      <w:tr>
        <w:tc>
          <w:tcPr>
            <w:gridSpan w:val="5"/>
          </w:tcPr>
          <w:p>
            <w:pPr>
              <w:pStyle w:val="Compact"/>
              <w:jc w:val="right"/>
            </w:pPr>
            <w:r>
              <w:t xml:space="preserve">Subtotal (EGP):</w:t>
            </w:r>
          </w:p>
        </w:tc>
        <w:tc>
          <w:tcPr/>
          <w:p>
            <w:pPr>
              <w:pStyle w:val="Compact"/>
              <w:jc w:val="left"/>
            </w:pPr>
            <w:r>
              <w:t xml:space="preserve">276,500.00</w:t>
            </w:r>
          </w:p>
        </w:tc>
        <w:tc>
          <w:tcPr/>
          <w:p>
            <w:pPr>
              <w:pStyle w:val="Compact"/>
            </w:pPr>
          </w:p>
        </w:tc>
      </w:tr>
      <w:tr>
        <w:tc>
          <w:tcPr>
            <w:gridSpan w:val="5"/>
          </w:tcPr>
          <w:p>
            <w:pPr>
              <w:pStyle w:val="Compact"/>
              <w:jc w:val="right"/>
            </w:pPr>
            <w:r>
              <w:t xml:space="preserve">VAT (14% — Egyptian Value Added Tax):</w:t>
            </w:r>
          </w:p>
        </w:tc>
        <w:tc>
          <w:tcPr/>
          <w:p>
            <w:pPr>
              <w:pStyle w:val="Compact"/>
              <w:jc w:val="left"/>
            </w:pPr>
            <w:r>
              <w:t xml:space="preserve">38,710.00</w:t>
            </w:r>
          </w:p>
        </w:tc>
        <w:tc>
          <w:tcPr/>
          <w:p>
            <w:pPr>
              <w:pStyle w:val="Compact"/>
            </w:pPr>
          </w:p>
        </w:tc>
      </w:tr>
      <w:tr>
        <w:tc>
          <w:tcPr>
            <w:gridSpan w:val="5"/>
          </w:tcPr>
          <w:p>
            <w:pPr>
              <w:pStyle w:val="Compact"/>
              <w:jc w:val="right"/>
            </w:pPr>
            <w:r>
              <w:t xml:space="preserve">TOTAL AMOUNT DUE (EGP):</w:t>
            </w:r>
          </w:p>
        </w:tc>
        <w:tc>
          <w:tcPr/>
          <w:p>
            <w:pPr>
              <w:pStyle w:val="Compact"/>
              <w:jc w:val="left"/>
            </w:pPr>
            <w:r>
              <w:t xml:space="preserve">315,210.00</w:t>
            </w:r>
          </w:p>
        </w:tc>
        <w:tc>
          <w:tcPr/>
          <w:p>
            <w:pPr>
              <w:pStyle w:val="Compact"/>
            </w:pPr>
          </w:p>
        </w:tc>
      </w:tr>
    </w:tbl>
    <w:p>
      <w:pPr>
        <w:pStyle w:val="BodyText"/>
      </w:pPr>
      <w:r>
        <w:t xml:space="preserve">4. Terms and Conditions</w:t>
      </w:r>
    </w:p>
    <w:p>
      <w:pPr>
        <w:numPr>
          <w:ilvl w:val="0"/>
          <w:numId w:val="1001"/>
        </w:numPr>
        <w:pStyle w:val="Compact"/>
      </w:pPr>
      <w:r>
        <w:rPr>
          <w:bCs/>
          <w:b/>
        </w:rPr>
        <w:t xml:space="preserve">Compliance with Egyptian Law:</w:t>
      </w:r>
      <w:r>
        <w:t xml:space="preserve"> </w:t>
      </w:r>
      <w:r>
        <w:t xml:space="preserve">All Nurse personnel engaged under this Purchase Order shall be fully licensed by the Egyptian Ministry of Health and Population and registered with the Alexandria Regional Health Directorate. The Nurse(s) must present valid identification, nursing license, and any required professional indemnity insurance before commencing duties in Alexandria.</w:t>
      </w:r>
    </w:p>
    <w:p>
      <w:pPr>
        <w:numPr>
          <w:ilvl w:val="0"/>
          <w:numId w:val="1001"/>
        </w:numPr>
        <w:pStyle w:val="Compact"/>
      </w:pPr>
      <w:r>
        <w:rPr>
          <w:bCs/>
          <w:b/>
        </w:rPr>
        <w:t xml:space="preserve">Payment Terms:</w:t>
      </w:r>
      <w:r>
        <w:t xml:space="preserve"> </w:t>
      </w:r>
      <w:r>
        <w:t xml:space="preserve">Payment shall be made in Egyptian Pounds (EGP) via bank transfer to the supplier's designated account within Alexandria, Egypt. Invoices are payable net 30 days from the date of receipt of a valid tax invoice. Late payments shall accrue interest at the Central Bank of Egypt's prevailing rate.</w:t>
      </w:r>
    </w:p>
    <w:p>
      <w:pPr>
        <w:numPr>
          <w:ilvl w:val="0"/>
          <w:numId w:val="1001"/>
        </w:numPr>
        <w:pStyle w:val="Compact"/>
      </w:pPr>
      <w:r>
        <w:rPr>
          <w:bCs/>
          <w:b/>
        </w:rPr>
        <w:t xml:space="preserve">Performance Standards:</w:t>
      </w:r>
      <w:r>
        <w:t xml:space="preserve"> </w:t>
      </w:r>
      <w:r>
        <w:t xml:space="preserve">The Nurse services must meet the clinical quality benchmarks set by Alexandria Coastal Medical Group and comply with all regulations issued by the Egyptian Nursing Association and the Alexandria Governorate Health Authority. Failure to meet performance KPIs for two consecutive months shall constitute grounds for termination of this Purchase Order with 30 days' written notice.</w:t>
      </w:r>
    </w:p>
    <w:p>
      <w:pPr>
        <w:numPr>
          <w:ilvl w:val="0"/>
          <w:numId w:val="1001"/>
        </w:numPr>
        <w:pStyle w:val="Compact"/>
      </w:pPr>
      <w:r>
        <w:rPr>
          <w:bCs/>
          <w:b/>
        </w:rPr>
        <w:t xml:space="preserve">Confidentiality &amp; Patient Data:</w:t>
      </w:r>
      <w:r>
        <w:t xml:space="preserve"> </w:t>
      </w:r>
      <w:r>
        <w:t xml:space="preserve">All Nurse staff shall adhere to Egyptian data protection regulations and the facility's patient confidentiality policies. Patient records generated in Alexandria shall be stored in accordance with the Egyptian Ministry of Health's medical records retention schedule.</w:t>
      </w:r>
    </w:p>
    <w:p>
      <w:pPr>
        <w:numPr>
          <w:ilvl w:val="0"/>
          <w:numId w:val="1001"/>
        </w:numPr>
        <w:pStyle w:val="Compact"/>
      </w:pPr>
      <w:r>
        <w:rPr>
          <w:bCs/>
          <w:b/>
        </w:rPr>
        <w:t xml:space="preserve">Substitution Clause:</w:t>
      </w:r>
      <w:r>
        <w:t xml:space="preserve"> </w:t>
      </w:r>
      <w:r>
        <w:t xml:space="preserve">The supplier may substitute a Nurse of equivalent or superior qualifications with prior written approval from Alexandria Coastal Medical Group. Any substituted Nurse must meet the same licensing and experience requirements specified in this Purchase Order.</w:t>
      </w:r>
    </w:p>
    <w:p>
      <w:pPr>
        <w:numPr>
          <w:ilvl w:val="0"/>
          <w:numId w:val="1001"/>
        </w:numPr>
        <w:pStyle w:val="Compact"/>
      </w:pPr>
      <w:r>
        <w:rPr>
          <w:bCs/>
          <w:b/>
        </w:rPr>
        <w:t xml:space="preserve">Termination:</w:t>
      </w:r>
      <w:r>
        <w:t xml:space="preserve"> </w:t>
      </w:r>
      <w:r>
        <w:t xml:space="preserve">Either party may terminate this Purchase Order with 60 days' written notice. In the event of termination, the supplier shall ensure a minimum 30-day transition period to maintain continuity of Nurse care for patients in Alexandria.</w:t>
      </w:r>
    </w:p>
    <w:p>
      <w:pPr>
        <w:numPr>
          <w:ilvl w:val="0"/>
          <w:numId w:val="1001"/>
        </w:numPr>
        <w:pStyle w:val="Compact"/>
      </w:pPr>
      <w:r>
        <w:rPr>
          <w:bCs/>
          <w:b/>
        </w:rPr>
        <w:t xml:space="preserve">Governing Law:</w:t>
      </w:r>
      <w:r>
        <w:t xml:space="preserve"> </w:t>
      </w:r>
      <w:r>
        <w:t xml:space="preserve">This Purchase Order shall be governed by and construed in accordance with the laws of the Arab Republic of Egypt. Any disputes shall be resolved through the competent courts in Alexandria, Egypt.</w:t>
      </w:r>
    </w:p>
    <w:p>
      <w:pPr>
        <w:numPr>
          <w:ilvl w:val="0"/>
          <w:numId w:val="1001"/>
        </w:numPr>
        <w:pStyle w:val="Compact"/>
      </w:pPr>
      <w:r>
        <w:rPr>
          <w:bCs/>
          <w:b/>
        </w:rPr>
        <w:t xml:space="preserve">Force Majeure:</w:t>
      </w:r>
      <w:r>
        <w:t xml:space="preserve"> </w:t>
      </w:r>
      <w:r>
        <w:t xml:space="preserve">Neither party shall be liable for delays caused by events beyond reasonable control, including but not limited to public health emergencies declared by the Egyptian government affecting operations in Alexandria.</w:t>
      </w:r>
    </w:p>
    <w:p>
      <w:pPr>
        <w:pStyle w:val="FirstParagraph"/>
      </w:pPr>
      <w:r>
        <w:t xml:space="preserve">5. Delivery / Commencement Details</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Commencement Date:</w:t>
            </w:r>
          </w:p>
        </w:tc>
        <w:tc>
          <w:tcPr/>
          <w:p>
            <w:pPr>
              <w:pStyle w:val="Compact"/>
              <w:jc w:val="left"/>
            </w:pPr>
            <w:r>
              <w:t xml:space="preserve">1 July 2025</w:t>
            </w:r>
          </w:p>
        </w:tc>
      </w:tr>
      <w:tr>
        <w:tc>
          <w:tcPr/>
          <w:p>
            <w:pPr>
              <w:pStyle w:val="Compact"/>
              <w:jc w:val="left"/>
            </w:pPr>
            <w:r>
              <w:rPr>
                <w:bCs/>
                <w:b/>
              </w:rPr>
              <w:t xml:space="preserve">Completion Date:</w:t>
            </w:r>
          </w:p>
        </w:tc>
        <w:tc>
          <w:tcPr/>
          <w:p>
            <w:pPr>
              <w:pStyle w:val="Compact"/>
              <w:jc w:val="left"/>
            </w:pPr>
            <w:r>
              <w:t xml:space="preserve">30 June 2026</w:t>
            </w:r>
          </w:p>
        </w:tc>
      </w:tr>
      <w:tr>
        <w:tc>
          <w:tcPr/>
          <w:p>
            <w:pPr>
              <w:pStyle w:val="Compact"/>
              <w:jc w:val="left"/>
            </w:pPr>
            <w:r>
              <w:rPr>
                <w:bCs/>
                <w:b/>
              </w:rPr>
              <w:t xml:space="preserve">Service Location:</w:t>
            </w:r>
          </w:p>
        </w:tc>
        <w:tc>
          <w:tcPr/>
          <w:p>
            <w:pPr>
              <w:pStyle w:val="Compact"/>
              <w:jc w:val="left"/>
            </w:pPr>
            <w:r>
              <w:t xml:space="preserve">Alexandria Coastal Medical Group, 42 Corniche El-Nil Street, Smouha, Alexandria, Egypt</w:t>
            </w:r>
          </w:p>
        </w:tc>
      </w:tr>
      <w:tr>
        <w:tc>
          <w:tcPr/>
          <w:p>
            <w:pPr>
              <w:pStyle w:val="Compact"/>
              <w:jc w:val="left"/>
            </w:pPr>
            <w:r>
              <w:rPr>
                <w:bCs/>
                <w:b/>
              </w:rPr>
              <w:t xml:space="preserve">Reporting:</w:t>
            </w:r>
          </w:p>
        </w:tc>
        <w:tc>
          <w:tcPr/>
          <w:p>
            <w:pPr>
              <w:pStyle w:val="Compact"/>
              <w:jc w:val="left"/>
            </w:pPr>
            <w:r>
              <w:t xml:space="preserve">Monthly Nurse performance reports to be submitted to the Procurement Department by the 5th of each month.</w:t>
            </w:r>
          </w:p>
        </w:tc>
      </w:tr>
    </w:tbl>
    <w:p>
      <w:pPr>
        <w:pStyle w:val="BodyText"/>
      </w:pPr>
      <w:r>
        <w:rPr>
          <w:bCs/>
          <w:b/>
        </w:rPr>
        <w:t xml:space="preserve">Authorized by (Buyer):</w:t>
      </w:r>
    </w:p>
    <w:p>
      <w:pPr>
        <w:pStyle w:val="BodyText"/>
      </w:pPr>
      <w:r>
        <w:t xml:space="preserve">Alexandria Coastal Medical Group</w:t>
      </w:r>
    </w:p>
    <w:p>
      <w:pPr>
        <w:pStyle w:val="BodyText"/>
      </w:pPr>
      <w:r>
        <w:t xml:space="preserve">Name: Eng. Mahmoud El-Sayed</w:t>
      </w:r>
      <w:r>
        <w:br/>
      </w:r>
      <w:r>
        <w:t xml:space="preserve">Title: Chief Procurement Officer</w:t>
      </w:r>
      <w:r>
        <w:br/>
      </w:r>
      <w:r>
        <w:t xml:space="preserve">Signature &amp; Date: ______________________</w:t>
      </w:r>
    </w:p>
    <w:p>
      <w:pPr>
        <w:pStyle w:val="BodyText"/>
      </w:pPr>
      <w:r>
        <w:rPr>
          <w:bCs/>
          <w:b/>
        </w:rPr>
        <w:t xml:space="preserve">Accepted by (Supplier):</w:t>
      </w:r>
    </w:p>
    <w:p>
      <w:pPr>
        <w:pStyle w:val="BodyText"/>
      </w:pPr>
      <w:r>
        <w:t xml:space="preserve">Alexandria Elite Nursing &amp; Healthcare Staffing Co.</w:t>
      </w:r>
    </w:p>
    <w:p>
      <w:pPr>
        <w:pStyle w:val="BodyText"/>
      </w:pPr>
      <w:r>
        <w:t xml:space="preserve">Name: Dr. Layla Hassan</w:t>
      </w:r>
      <w:r>
        <w:br/>
      </w:r>
      <w:r>
        <w:t xml:space="preserve">Title: Director of Nursing Operations</w:t>
      </w:r>
      <w:r>
        <w:br/>
      </w:r>
      <w:r>
        <w:t xml:space="preserve">Signature &amp; Date: ______________________</w:t>
      </w:r>
    </w:p>
    <w:p>
      <w:pPr>
        <w:pStyle w:val="BodyText"/>
      </w:pPr>
      <w:r>
        <w:rPr>
          <w:bCs/>
          <w:b/>
        </w:rPr>
        <w:t xml:space="preserve">NOTE:</w:t>
      </w:r>
      <w:r>
        <w:t xml:space="preserve"> </w:t>
      </w:r>
      <w:r>
        <w:t xml:space="preserve">This Purchase Order is a binding procurement document for the engagement of licensed Nurse services within the Alexandria, Egypt healthcare sector. All parties acknowledge that this document is subject to the Egyptian Commercial Code, the Egyptian Labor Law (Law No. 12 of 2003), and applicable regulations of the Ministry of Health and Population. This Purchase Order does not constitute an employment contract between Alexandria Coastal Medical Group and the individual Nurse personnel; the employment relationship remains solely between the Nurse and the supplier, AENHS. A copy of this Purchase Order shall be filed with the Alexandria Regional Health Directorate as required by local regulatory compliance.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Nurse Services - Alexandria, Egypt</dc:title>
  <dc:creator/>
  <dc:language>en</dc:language>
  <cp:keywords/>
  <dcterms:created xsi:type="dcterms:W3CDTF">2026-10-10T08:38:15Z</dcterms:created>
  <dcterms:modified xsi:type="dcterms:W3CDTF">2026-10-10T08:38:15Z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