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Official Procurement Document for Professional Healthcare Staffing Services</w:t>
      </w:r>
    </w:p>
    <w:p>
      <w:pPr>
        <w:pStyle w:val="BodyText"/>
      </w:pPr>
      <w:r>
        <w:t xml:space="preserve">PO No: TR-IST-2025-04872</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Marmara Regional Health Services Ltd.</w:t>
      </w:r>
    </w:p>
    <w:p>
      <w:pPr>
        <w:pStyle w:val="BodyText"/>
      </w:pPr>
      <w:r>
        <w:rPr>
          <w:bCs/>
          <w:b/>
        </w:rPr>
        <w:t xml:space="preserve">Address:</w:t>
      </w:r>
      <w:r>
        <w:t xml:space="preserve"> </w:t>
      </w:r>
      <w:r>
        <w:t xml:space="preserve">Büyükdere Caddesi No. 142, 34450, Esenler,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Dr. Ayşe Kaya, Procurement Director</w:t>
      </w:r>
    </w:p>
    <w:p>
      <w:pPr>
        <w:pStyle w:val="BodyText"/>
      </w:pPr>
      <w:r>
        <w:rPr>
          <w:bCs/>
          <w:b/>
        </w:rPr>
        <w:t xml:space="preserve">Email:</w:t>
      </w:r>
      <w:r>
        <w:t xml:space="preserve"> </w:t>
      </w:r>
      <w:r>
        <w:t xml:space="preserve">procurement@marmarahealth.tr</w:t>
      </w:r>
    </w:p>
    <w:p>
      <w:pPr>
        <w:pStyle w:val="BodyText"/>
      </w:pPr>
      <w:r>
        <w:rPr>
          <w:bCs/>
          <w:b/>
        </w:rPr>
        <w:t xml:space="preserve">Phone:</w:t>
      </w:r>
      <w:r>
        <w:t xml:space="preserve"> </w:t>
      </w:r>
      <w:r>
        <w:t xml:space="preserve">+90 212 555 0142</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Anadolu Medical Staffing Agency A.Ş.</w:t>
      </w:r>
    </w:p>
    <w:p>
      <w:pPr>
        <w:pStyle w:val="BodyText"/>
      </w:pPr>
      <w:r>
        <w:rPr>
          <w:bCs/>
          <w:b/>
        </w:rPr>
        <w:t xml:space="preserve">Address:</w:t>
      </w:r>
      <w:r>
        <w:t xml:space="preserve"> </w:t>
      </w:r>
      <w:r>
        <w:t xml:space="preserve">Barbaros Bulvarı No. 88, 34360, Şişli,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Mehmet Yılmaz, Account Manager</w:t>
      </w:r>
    </w:p>
    <w:p>
      <w:pPr>
        <w:pStyle w:val="BodyText"/>
      </w:pPr>
      <w:r>
        <w:rPr>
          <w:bCs/>
          <w:b/>
        </w:rPr>
        <w:t xml:space="preserve">Email:</w:t>
      </w:r>
      <w:r>
        <w:t xml:space="preserve"> </w:t>
      </w:r>
      <w:r>
        <w:t xml:space="preserve">accounts@anadolumedical.tr</w:t>
      </w:r>
    </w:p>
    <w:p>
      <w:pPr>
        <w:pStyle w:val="BodyText"/>
      </w:pPr>
      <w:r>
        <w:rPr>
          <w:bCs/>
          <w:b/>
        </w:rPr>
        <w:t xml:space="preserve">Phone:</w:t>
      </w:r>
      <w:r>
        <w:t xml:space="preserve"> </w:t>
      </w:r>
      <w:r>
        <w:t xml:space="preserve">+90 212 444 7890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PO Date</w:t>
            </w:r>
          </w:p>
        </w:tc>
        <w:tc>
          <w:tcPr/>
          <w:p>
            <w:pPr>
              <w:pStyle w:val="Compact"/>
              <w:jc w:val="left"/>
            </w:pPr>
            <w:r>
              <w:t xml:space="preserve">Delivery/Start Date</w:t>
            </w:r>
          </w:p>
        </w:tc>
        <w:tc>
          <w:tcPr/>
          <w:p>
            <w:pPr>
              <w:pStyle w:val="Compact"/>
              <w:jc w:val="left"/>
            </w:pPr>
            <w:r>
              <w:t xml:space="preserve">Payment Terms</w:t>
            </w:r>
          </w:p>
        </w:tc>
        <w:tc>
          <w:tcPr/>
          <w:p>
            <w:pPr>
              <w:pStyle w:val="Compact"/>
              <w:jc w:val="left"/>
            </w:pPr>
            <w:r>
              <w:t xml:space="preserve">Delivery Location</w:t>
            </w:r>
          </w:p>
        </w:tc>
        <w:tc>
          <w:tcPr/>
          <w:p>
            <w:pPr>
              <w:pStyle w:val="Compact"/>
              <w:jc w:val="left"/>
            </w:pPr>
            <w:r>
              <w:t xml:space="preserve">Validity Period</w:t>
            </w:r>
          </w:p>
        </w:tc>
      </w:tr>
      <w:tr>
        <w:tc>
          <w:tcPr/>
          <w:p>
            <w:pPr>
              <w:pStyle w:val="Compact"/>
              <w:jc w:val="left"/>
            </w:pPr>
            <w:r>
              <w:t xml:space="preserve">15 June 2025</w:t>
            </w:r>
          </w:p>
        </w:tc>
        <w:tc>
          <w:tcPr/>
          <w:p>
            <w:pPr>
              <w:pStyle w:val="Compact"/>
              <w:jc w:val="left"/>
            </w:pPr>
            <w:r>
              <w:t xml:space="preserve">01 July 2025</w:t>
            </w:r>
          </w:p>
        </w:tc>
        <w:tc>
          <w:tcPr/>
          <w:p>
            <w:pPr>
              <w:pStyle w:val="Compact"/>
              <w:jc w:val="left"/>
            </w:pPr>
            <w:r>
              <w:t xml:space="preserve">Net 30 Days (Invoice Date)</w:t>
            </w:r>
          </w:p>
        </w:tc>
        <w:tc>
          <w:tcPr/>
          <w:p>
            <w:pPr>
              <w:pStyle w:val="Compact"/>
              <w:jc w:val="left"/>
            </w:pPr>
            <w:r>
              <w:t xml:space="preserve">Marmara General Hospital, Kadıköy, Istanbul, Turkey</w:t>
            </w:r>
          </w:p>
        </w:tc>
        <w:tc>
          <w:tcPr/>
          <w:p>
            <w:pPr>
              <w:pStyle w:val="Compact"/>
              <w:jc w:val="left"/>
            </w:pPr>
            <w:r>
              <w:t xml:space="preserve">12 Months (Renewable)</w:t>
            </w:r>
          </w:p>
        </w:tc>
      </w:tr>
    </w:tbl>
    <w:p>
      <w:pPr>
        <w:pStyle w:val="BodyText"/>
      </w:pPr>
      <w:r>
        <w:t xml:space="preserve">1. Description of Purchase Order and Scope of Services</w:t>
      </w:r>
    </w:p>
    <w:p>
      <w:pPr>
        <w:pStyle w:val="BodyText"/>
      </w:pPr>
      <w:r>
        <w:t xml:space="preserve">This</w:t>
      </w:r>
      <w:r>
        <w:t xml:space="preserve"> </w:t>
      </w:r>
      <w:r>
        <w:t xml:space="preserve">Purchase Order</w:t>
      </w:r>
      <w:r>
        <w:t xml:space="preserve"> </w:t>
      </w:r>
      <w:r>
        <w:t xml:space="preserve">is issued by Marmara Regional Health Services Ltd. to formally request and authorize the procurement of qualified</w:t>
      </w:r>
      <w:r>
        <w:t xml:space="preserve"> </w:t>
      </w:r>
      <w:r>
        <w:t xml:space="preserve">Nurse</w:t>
      </w:r>
      <w:r>
        <w:t xml:space="preserve"> </w:t>
      </w:r>
      <w:r>
        <w:t xml:space="preserve">staffing services to be deployed at our facility located in</w:t>
      </w:r>
      <w:r>
        <w:t xml:space="preserve"> </w:t>
      </w:r>
      <w:r>
        <w:t xml:space="preserve">Turkey Istanbul</w:t>
      </w:r>
      <w:r>
        <w:t xml:space="preserve">, specifically at the Marmara General Hospital in the Kadıköy district. This</w:t>
      </w:r>
      <w:r>
        <w:t xml:space="preserve"> </w:t>
      </w:r>
      <w:r>
        <w:t xml:space="preserve">Purchase Order</w:t>
      </w:r>
      <w:r>
        <w:t xml:space="preserve"> </w:t>
      </w:r>
      <w:r>
        <w:t xml:space="preserve">governs the terms, conditions, compensation structure, and operational requirements for the engagement of registered</w:t>
      </w:r>
      <w:r>
        <w:t xml:space="preserve"> </w:t>
      </w:r>
      <w:r>
        <w:t xml:space="preserve">Nurse</w:t>
      </w:r>
      <w:r>
        <w:t xml:space="preserve"> </w:t>
      </w:r>
      <w:r>
        <w:t xml:space="preserve">professionals who will provide direct patient care, clinical support, and emergency response services within the hospital premises in</w:t>
      </w:r>
      <w:r>
        <w:t xml:space="preserve"> </w:t>
      </w:r>
      <w:r>
        <w:t xml:space="preserve">Turkey Istanbul</w:t>
      </w:r>
      <w:r>
        <w:t xml:space="preserve">.</w:t>
      </w:r>
    </w:p>
    <w:p>
      <w:pPr>
        <w:pStyle w:val="BodyText"/>
      </w:pPr>
      <w:r>
        <w:t xml:space="preserve">The</w:t>
      </w:r>
      <w:r>
        <w:t xml:space="preserve"> </w:t>
      </w:r>
      <w:r>
        <w:t xml:space="preserve">Nurse</w:t>
      </w:r>
      <w:r>
        <w:t xml:space="preserve"> </w:t>
      </w:r>
      <w:r>
        <w:t xml:space="preserve">services procured under this</w:t>
      </w:r>
      <w:r>
        <w:t xml:space="preserve"> </w:t>
      </w:r>
      <w:r>
        <w:t xml:space="preserve">Purchase Order</w:t>
      </w:r>
      <w:r>
        <w:t xml:space="preserve"> </w:t>
      </w:r>
      <w:r>
        <w:t xml:space="preserve">are intended to address the current staffing shortfall in the Internal Medicine and Emergency Departments of our Istanbul facility. The</w:t>
      </w:r>
      <w:r>
        <w:t xml:space="preserve"> </w:t>
      </w:r>
      <w:r>
        <w:t xml:space="preserve">Nurse</w:t>
      </w:r>
      <w:r>
        <w:t xml:space="preserve"> </w:t>
      </w:r>
      <w:r>
        <w:t xml:space="preserve">personnel engaged through this</w:t>
      </w:r>
      <w:r>
        <w:t xml:space="preserve"> </w:t>
      </w:r>
      <w:r>
        <w:t xml:space="preserve">Purchase Order</w:t>
      </w:r>
      <w:r>
        <w:t xml:space="preserve"> </w:t>
      </w:r>
      <w:r>
        <w:t xml:space="preserve">must hold valid Turkish nursing licenses (Sağlık Bakanlığı Ruhsatı) and demonstrate a minimum of five (5) years of clinical experience in acute care settings within</w:t>
      </w:r>
      <w:r>
        <w:t xml:space="preserve"> </w:t>
      </w:r>
      <w:r>
        <w:t xml:space="preserve">Turkey Istanbul</w:t>
      </w:r>
      <w:r>
        <w:t xml:space="preserve"> </w:t>
      </w:r>
      <w:r>
        <w:t xml:space="preserve">or equivalent metropolitan healthcare environments.</w:t>
      </w:r>
    </w:p>
    <w:p>
      <w:pPr>
        <w:pStyle w:val="BodyText"/>
      </w:pPr>
      <w:r>
        <w:t xml:space="preserve">2. Line Items and Compensation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(TRY)</w:t>
            </w:r>
          </w:p>
        </w:tc>
        <w:tc>
          <w:tcPr/>
          <w:p>
            <w:pPr>
              <w:pStyle w:val="Compact"/>
              <w:jc w:val="left"/>
            </w:pPr>
            <w:r>
              <w:t xml:space="preserve">Monthly Total (TRY)</w:t>
            </w:r>
          </w:p>
        </w:tc>
      </w:tr>
      <w:tr>
        <w:tc>
          <w:tcPr/>
          <w:p>
            <w:pPr>
              <w:pStyle w:val="Compact"/>
              <w:jc w:val="left"/>
            </w:pPr>
            <w:r>
              <w:t xml:space="preserve">01</w:t>
            </w:r>
          </w:p>
        </w:tc>
        <w:tc>
          <w:tcPr/>
          <w:p>
            <w:pPr>
              <w:pStyle w:val="Compact"/>
              <w:jc w:val="left"/>
            </w:pPr>
            <w:r>
              <w:t xml:space="preserve">Senior Registered Nurse – Internal Medicine Ward (Full-time, 40 hrs/week)</w:t>
            </w:r>
          </w:p>
        </w:tc>
        <w:tc>
          <w:tcPr/>
          <w:p>
            <w:pPr>
              <w:pStyle w:val="Compact"/>
              <w:jc w:val="left"/>
            </w:pPr>
            <w:r>
              <w:t xml:space="preserve">4</w:t>
            </w:r>
          </w:p>
        </w:tc>
        <w:tc>
          <w:tcPr/>
          <w:p>
            <w:pPr>
              <w:pStyle w:val="Compact"/>
              <w:jc w:val="left"/>
            </w:pPr>
            <w:r>
              <w:t xml:space="preserve">Person/Month</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Emergency Department Nurse – Critical Care (Full-time, 40 hrs/week)</w:t>
            </w:r>
          </w:p>
        </w:tc>
        <w:tc>
          <w:tcPr/>
          <w:p>
            <w:pPr>
              <w:pStyle w:val="Compact"/>
              <w:jc w:val="left"/>
            </w:pPr>
            <w:r>
              <w:t xml:space="preserve">3</w:t>
            </w:r>
          </w:p>
        </w:tc>
        <w:tc>
          <w:tcPr/>
          <w:p>
            <w:pPr>
              <w:pStyle w:val="Compact"/>
              <w:jc w:val="left"/>
            </w:pPr>
            <w:r>
              <w:t xml:space="preserve">Person/Month</w:t>
            </w:r>
          </w:p>
        </w:tc>
        <w:tc>
          <w:tcPr/>
          <w:p>
            <w:pPr>
              <w:pStyle w:val="Compact"/>
              <w:jc w:val="left"/>
            </w:pPr>
            <w:r>
              <w:t xml:space="preserve">52,000.00</w:t>
            </w:r>
          </w:p>
        </w:tc>
        <w:tc>
          <w:tcPr/>
          <w:p>
            <w:pPr>
              <w:pStyle w:val="Compact"/>
              <w:jc w:val="left"/>
            </w:pPr>
            <w:r>
              <w:t xml:space="preserve">156,000.00</w:t>
            </w:r>
          </w:p>
        </w:tc>
      </w:tr>
      <w:tr>
        <w:tc>
          <w:tcPr/>
          <w:p>
            <w:pPr>
              <w:pStyle w:val="Compact"/>
              <w:jc w:val="left"/>
            </w:pPr>
            <w:r>
              <w:t xml:space="preserve">03</w:t>
            </w:r>
          </w:p>
        </w:tc>
        <w:tc>
          <w:tcPr/>
          <w:p>
            <w:pPr>
              <w:pStyle w:val="Compact"/>
              <w:jc w:val="left"/>
            </w:pPr>
            <w:r>
              <w:t xml:space="preserve">Ward Nurse – General Patient Care (Full-time, 40 hrs/week)</w:t>
            </w:r>
          </w:p>
        </w:tc>
        <w:tc>
          <w:tcPr/>
          <w:p>
            <w:pPr>
              <w:pStyle w:val="Compact"/>
              <w:jc w:val="left"/>
            </w:pPr>
            <w:r>
              <w:t xml:space="preserve">6</w:t>
            </w:r>
          </w:p>
        </w:tc>
        <w:tc>
          <w:tcPr/>
          <w:p>
            <w:pPr>
              <w:pStyle w:val="Compact"/>
              <w:jc w:val="left"/>
            </w:pPr>
            <w:r>
              <w:t xml:space="preserve">Person/Month</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04</w:t>
            </w:r>
          </w:p>
        </w:tc>
        <w:tc>
          <w:tcPr/>
          <w:p>
            <w:pPr>
              <w:pStyle w:val="Compact"/>
              <w:jc w:val="left"/>
            </w:pPr>
            <w:r>
              <w:t xml:space="preserve">Nurse Supervisor / Charge Nurse (Full-time, 40 hrs/week)</w:t>
            </w:r>
          </w:p>
        </w:tc>
        <w:tc>
          <w:tcPr/>
          <w:p>
            <w:pPr>
              <w:pStyle w:val="Compact"/>
              <w:jc w:val="left"/>
            </w:pPr>
            <w:r>
              <w:t xml:space="preserve">2</w:t>
            </w:r>
          </w:p>
        </w:tc>
        <w:tc>
          <w:tcPr/>
          <w:p>
            <w:pPr>
              <w:pStyle w:val="Compact"/>
              <w:jc w:val="left"/>
            </w:pPr>
            <w:r>
              <w:t xml:space="preserve">Person/Month</w:t>
            </w:r>
          </w:p>
        </w:tc>
        <w:tc>
          <w:tcPr/>
          <w:p>
            <w:pPr>
              <w:pStyle w:val="Compact"/>
              <w:jc w:val="left"/>
            </w:pPr>
            <w:r>
              <w:t xml:space="preserve">60,000.00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On-call Nurse Coverage – Night Shift Premium (12 hrs/week)</w:t>
            </w:r>
          </w:p>
        </w:tc>
        <w:tc>
          <w:tcPr/>
          <w:p>
            <w:pPr>
              <w:pStyle w:val="Compact"/>
              <w:jc w:val="left"/>
            </w:pPr>
            <w:r>
              <w:t xml:space="preserve">5</w:t>
            </w:r>
          </w:p>
        </w:tc>
        <w:tc>
          <w:tcPr/>
          <w:p>
            <w:pPr>
              <w:pStyle w:val="Compact"/>
              <w:jc w:val="left"/>
            </w:pPr>
            <w:r>
              <w:t xml:space="preserve">Person/Month</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Continuing Education &amp; Certification Maintenance (per Nurse)</w:t>
            </w:r>
          </w:p>
        </w:tc>
        <w:tc>
          <w:tcPr/>
          <w:p>
            <w:pPr>
              <w:pStyle w:val="Compact"/>
              <w:jc w:val="left"/>
            </w:pPr>
            <w:r>
              <w:t xml:space="preserve">20</w:t>
            </w:r>
          </w:p>
        </w:tc>
        <w:tc>
          <w:tcPr/>
          <w:p>
            <w:pPr>
              <w:pStyle w:val="Compact"/>
              <w:jc w:val="left"/>
            </w:pPr>
            <w:r>
              <w:t xml:space="preserve">Person/Year</w:t>
            </w:r>
          </w:p>
        </w:tc>
        <w:tc>
          <w:tcPr/>
          <w:p>
            <w:pPr>
              <w:pStyle w:val="Compact"/>
              <w:jc w:val="left"/>
            </w:pPr>
            <w:r>
              <w:t xml:space="preserve">8,000.00</w:t>
            </w:r>
          </w:p>
        </w:tc>
        <w:tc>
          <w:tcPr/>
          <w:p>
            <w:pPr>
              <w:pStyle w:val="Compact"/>
              <w:jc w:val="left"/>
            </w:pPr>
            <w:r>
              <w:t xml:space="preserve">160,000.00</w:t>
            </w:r>
          </w:p>
        </w:tc>
      </w:tr>
      <w:tr>
        <w:tc>
          <w:tcPr>
            <w:gridSpan w:val="5"/>
          </w:tcPr>
          <w:p>
            <w:pPr>
              <w:pStyle w:val="Compact"/>
              <w:jc w:val="left"/>
            </w:pPr>
            <w:r>
              <w:t xml:space="preserve">TOTAL MONTHLY COMMITMENT (TRY)</w:t>
            </w:r>
          </w:p>
        </w:tc>
        <w:tc>
          <w:tcPr/>
          <w:p>
            <w:pPr>
              <w:pStyle w:val="Compact"/>
              <w:jc w:val="left"/>
            </w:pPr>
            <w:r>
              <w:t xml:space="preserve">919,000.00</w:t>
            </w:r>
          </w:p>
        </w:tc>
      </w:tr>
      <w:tr>
        <w:tc>
          <w:tcPr>
            <w:gridSpan w:val="5"/>
          </w:tcPr>
          <w:p>
            <w:pPr>
              <w:pStyle w:val="Compact"/>
              <w:jc w:val="left"/>
            </w:pPr>
            <w:r>
              <w:t xml:space="preserve">TOTAL ANNUAL COMMITMENT (TRY) – 12 Months</w:t>
            </w:r>
          </w:p>
        </w:tc>
        <w:tc>
          <w:tcPr/>
          <w:p>
            <w:pPr>
              <w:pStyle w:val="Compact"/>
              <w:jc w:val="left"/>
            </w:pPr>
            <w:r>
              <w:t xml:space="preserve">11,028,000.00</w:t>
            </w:r>
          </w:p>
        </w:tc>
      </w:tr>
    </w:tbl>
    <w:p>
      <w:pPr>
        <w:pStyle w:val="BodyText"/>
      </w:pPr>
      <w:r>
        <w:t xml:space="preserve">3. Terms and Conditions</w:t>
      </w:r>
    </w:p>
    <w:p>
      <w:pPr>
        <w:numPr>
          <w:ilvl w:val="0"/>
          <w:numId w:val="1001"/>
        </w:numPr>
        <w:pStyle w:val="Compact"/>
      </w:pPr>
      <w:r>
        <w:rPr>
          <w:bCs/>
          <w:b/>
        </w:rPr>
        <w:t xml:space="preserve">Compliance with Turkish Law:</w:t>
      </w:r>
      <w:r>
        <w:t xml:space="preserve"> </w:t>
      </w:r>
      <w:r>
        <w:t xml:space="preserve">All</w:t>
      </w:r>
      <w:r>
        <w:t xml:space="preserve"> </w:t>
      </w:r>
      <w:r>
        <w:t xml:space="preserve">Nurse</w:t>
      </w:r>
      <w:r>
        <w:t xml:space="preserve"> </w:t>
      </w:r>
      <w:r>
        <w:t xml:space="preserve">personnel engaged under this</w:t>
      </w:r>
      <w:r>
        <w:t xml:space="preserve"> </w:t>
      </w:r>
      <w:r>
        <w:t xml:space="preserve">Purchase Order</w:t>
      </w:r>
      <w:r>
        <w:t xml:space="preserve"> </w:t>
      </w:r>
      <w:r>
        <w:t xml:space="preserve">shall comply with the Turkish Health Law (Law No. 663), the Turkish Labor Code (Law No. 4857), and all regulations issued by the Ministry of Health of the Republic of Turkey. The</w:t>
      </w:r>
      <w:r>
        <w:t xml:space="preserve"> </w:t>
      </w:r>
      <w:r>
        <w:t xml:space="preserve">Nurse</w:t>
      </w:r>
      <w:r>
        <w:t xml:space="preserve"> </w:t>
      </w:r>
      <w:r>
        <w:t xml:space="preserve">staffing must adhere to the professional standards set by the Turkish Nurses Association (Türk Hemşireler Derneği) as applicable in</w:t>
      </w:r>
      <w:r>
        <w:t xml:space="preserve"> </w:t>
      </w:r>
      <w:r>
        <w:t xml:space="preserve">Turkey Istanbul</w:t>
      </w:r>
      <w:r>
        <w:t xml:space="preserve">.</w:t>
      </w:r>
    </w:p>
    <w:p>
      <w:pPr>
        <w:numPr>
          <w:ilvl w:val="0"/>
          <w:numId w:val="1001"/>
        </w:numPr>
        <w:pStyle w:val="Compact"/>
      </w:pPr>
      <w:r>
        <w:rPr>
          <w:bCs/>
          <w:b/>
        </w:rPr>
        <w:t xml:space="preserve">Licensing and Certification:</w:t>
      </w:r>
      <w:r>
        <w:t xml:space="preserve"> </w:t>
      </w:r>
      <w:r>
        <w:t xml:space="preserve">Each</w:t>
      </w:r>
      <w:r>
        <w:t xml:space="preserve"> </w:t>
      </w:r>
      <w:r>
        <w:t xml:space="preserve">Nurse</w:t>
      </w:r>
      <w:r>
        <w:t xml:space="preserve"> </w:t>
      </w:r>
      <w:r>
        <w:t xml:space="preserve">assigned under this</w:t>
      </w:r>
      <w:r>
        <w:t xml:space="preserve"> </w:t>
      </w:r>
      <w:r>
        <w:t xml:space="preserve">Purchase Order</w:t>
      </w:r>
      <w:r>
        <w:t xml:space="preserve"> </w:t>
      </w:r>
      <w:r>
        <w:t xml:space="preserve">must present a valid nursing license issued by the Turkish Ministry of Health prior to commencing duties at the Istanbul facility. The supplier shall bear full responsibility for verifying the authenticity of all</w:t>
      </w:r>
      <w:r>
        <w:t xml:space="preserve"> </w:t>
      </w:r>
      <w:r>
        <w:t xml:space="preserve">Nurse</w:t>
      </w:r>
      <w:r>
        <w:t xml:space="preserve"> </w:t>
      </w:r>
      <w:r>
        <w:t xml:space="preserve">credentials before deployment.</w:t>
      </w:r>
    </w:p>
    <w:p>
      <w:pPr>
        <w:numPr>
          <w:ilvl w:val="0"/>
          <w:numId w:val="1001"/>
        </w:numPr>
        <w:pStyle w:val="Compact"/>
      </w:pPr>
      <w:r>
        <w:rPr>
          <w:bCs/>
          <w:b/>
        </w:rPr>
        <w:t xml:space="preserve">Payment Schedule:</w:t>
      </w:r>
      <w:r>
        <w:t xml:space="preserve"> </w:t>
      </w:r>
      <w:r>
        <w:t xml:space="preserve">Invoices for</w:t>
      </w:r>
      <w:r>
        <w:t xml:space="preserve"> </w:t>
      </w:r>
      <w:r>
        <w:t xml:space="preserve">Nurse</w:t>
      </w:r>
      <w:r>
        <w:t xml:space="preserve"> </w:t>
      </w:r>
      <w:r>
        <w:t xml:space="preserve">services rendered under this</w:t>
      </w:r>
      <w:r>
        <w:t xml:space="preserve"> </w:t>
      </w:r>
      <w:r>
        <w:t xml:space="preserve">Purchase Order</w:t>
      </w:r>
      <w:r>
        <w:t xml:space="preserve"> </w:t>
      </w:r>
      <w:r>
        <w:t xml:space="preserve">shall be submitted on the last business day of each calendar month. Payment shall be processed within thirty (30) calendar days of invoice receipt via bank transfer to the supplier's designated account in Istanbul, Turkey. All payments are denominated in Turkish Lira (TRY) and are subject to applicable Value Added Tax (KDV) at the current rate of 20%.</w:t>
      </w:r>
    </w:p>
    <w:p>
      <w:pPr>
        <w:numPr>
          <w:ilvl w:val="0"/>
          <w:numId w:val="1001"/>
        </w:numPr>
        <w:pStyle w:val="Compact"/>
      </w:pPr>
      <w:r>
        <w:rPr>
          <w:bCs/>
          <w:b/>
        </w:rPr>
        <w:t xml:space="preserve">Performance Standards:</w:t>
      </w:r>
      <w:r>
        <w:t xml:space="preserve"> </w:t>
      </w:r>
      <w:r>
        <w:t xml:space="preserve">The</w:t>
      </w:r>
      <w:r>
        <w:t xml:space="preserve"> </w:t>
      </w:r>
      <w:r>
        <w:t xml:space="preserve">Nurse</w:t>
      </w:r>
      <w:r>
        <w:t xml:space="preserve"> </w:t>
      </w:r>
      <w:r>
        <w:t xml:space="preserve">personnel must maintain a minimum patient satisfaction score of 85% as measured by quarterly internal audits conducted at the Marmara General Hospital in Istanbul. Failure to meet this standard for two consecutive quarters shall constitute grounds for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Substitution Rights:</w:t>
      </w:r>
      <w:r>
        <w:t xml:space="preserve"> </w:t>
      </w:r>
      <w:r>
        <w:t xml:space="preserve">The supplier may substitute individual</w:t>
      </w:r>
      <w:r>
        <w:t xml:space="preserve"> </w:t>
      </w:r>
      <w:r>
        <w:t xml:space="preserve">Nurse</w:t>
      </w:r>
      <w:r>
        <w:t xml:space="preserve"> </w:t>
      </w:r>
      <w:r>
        <w:t xml:space="preserve">personnel with equally qualified replacements, provided that the replacement</w:t>
      </w:r>
      <w:r>
        <w:t xml:space="preserve"> </w:t>
      </w:r>
      <w:r>
        <w:t xml:space="preserve">Nurse</w:t>
      </w:r>
      <w:r>
        <w:t xml:space="preserve"> </w:t>
      </w:r>
      <w:r>
        <w:t xml:space="preserve">meets or exceeds the qualifications specified in this</w:t>
      </w:r>
      <w:r>
        <w:t xml:space="preserve"> </w:t>
      </w:r>
      <w:r>
        <w:t xml:space="preserve">Purchase Order</w:t>
      </w:r>
      <w:r>
        <w:t xml:space="preserve"> </w:t>
      </w:r>
      <w:r>
        <w:t xml:space="preserve">and that the buyer receives at least fourteen (14) days' prior written notice. All substituted</w:t>
      </w:r>
      <w:r>
        <w:t xml:space="preserve"> </w:t>
      </w:r>
      <w:r>
        <w:t xml:space="preserve">Nurse</w:t>
      </w:r>
      <w:r>
        <w:t xml:space="preserve"> </w:t>
      </w:r>
      <w:r>
        <w:t xml:space="preserve">personnel must be based in or willing to relocate to</w:t>
      </w:r>
      <w:r>
        <w:t xml:space="preserve"> </w:t>
      </w:r>
      <w:r>
        <w:t xml:space="preserve">Turkey Istanbul</w:t>
      </w:r>
      <w:r>
        <w:t xml:space="preserve">.</w:t>
      </w:r>
    </w:p>
    <w:p>
      <w:pPr>
        <w:numPr>
          <w:ilvl w:val="0"/>
          <w:numId w:val="1001"/>
        </w:numPr>
        <w:pStyle w:val="Compact"/>
      </w:pPr>
      <w:r>
        <w:rPr>
          <w:bCs/>
          <w:b/>
        </w:rPr>
        <w:t xml:space="preserve">Insurance and Liability:</w:t>
      </w:r>
      <w:r>
        <w:t xml:space="preserve"> </w:t>
      </w:r>
      <w:r>
        <w:t xml:space="preserve">The supplier shall maintain comprehensive professional liability insurance covering all</w:t>
      </w:r>
      <w:r>
        <w:t xml:space="preserve"> </w:t>
      </w:r>
      <w:r>
        <w:t xml:space="preserve">Nurse</w:t>
      </w:r>
      <w:r>
        <w:t xml:space="preserve"> </w:t>
      </w:r>
      <w:r>
        <w:t xml:space="preserve">personnel engaged under this</w:t>
      </w:r>
      <w:r>
        <w:t xml:space="preserve"> </w:t>
      </w:r>
      <w:r>
        <w:t xml:space="preserve">Purchase Order</w:t>
      </w:r>
      <w:r>
        <w:t xml:space="preserve"> </w:t>
      </w:r>
      <w:r>
        <w:t xml:space="preserve">with a minimum coverage of TRY 5,000,000 per incident. The insurance policy must be valid throughout the territory of</w:t>
      </w:r>
      <w:r>
        <w:t xml:space="preserve"> </w:t>
      </w:r>
      <w:r>
        <w:t xml:space="preserve">Turkey Istanbul</w:t>
      </w:r>
      <w:r>
        <w:t xml:space="preserve"> </w:t>
      </w:r>
      <w:r>
        <w:t xml:space="preserve">and the Republic of Turkey.</w:t>
      </w:r>
    </w:p>
    <w:p>
      <w:pPr>
        <w:numPr>
          <w:ilvl w:val="0"/>
          <w:numId w:val="1001"/>
        </w:numPr>
        <w:pStyle w:val="Compact"/>
      </w:pPr>
      <w:r>
        <w:rPr>
          <w:bCs/>
          <w:b/>
        </w:rPr>
        <w:t xml:space="preserve">Confidentiality:</w:t>
      </w:r>
      <w:r>
        <w:t xml:space="preserve"> </w:t>
      </w:r>
      <w:r>
        <w:t xml:space="preserve">All</w:t>
      </w:r>
      <w:r>
        <w:t xml:space="preserve"> </w:t>
      </w:r>
      <w:r>
        <w:t xml:space="preserve">Nurse</w:t>
      </w:r>
      <w:r>
        <w:t xml:space="preserve"> </w:t>
      </w:r>
      <w:r>
        <w:t xml:space="preserve">personnel shall sign a Non-Disclosure Agreement (NDA) in accordance with Turkish data protection law (KVKK – Kişisel Verilerin Korunması Kanunu) before accessing any patient records at the Istanbul facility.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by the supplier, the buyer may terminate immediately upon written notice. Upon termination, all</w:t>
      </w:r>
      <w:r>
        <w:t xml:space="preserve"> </w:t>
      </w:r>
      <w:r>
        <w:t xml:space="preserve">Nurse</w:t>
      </w:r>
      <w:r>
        <w:t xml:space="preserve"> </w:t>
      </w:r>
      <w:r>
        <w:t xml:space="preserve">personnel shall be released from the Istanbul facility within seven (7) business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 Istanbul, Turkey, in accordance with the rules of the Istanbul Arbitration Institute (ISTAC). If mediation fails, the matter shall be referred to the competent courts of Istanbul, Turkey.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Turkey. All</w:t>
      </w:r>
      <w:r>
        <w:t xml:space="preserve"> </w:t>
      </w:r>
      <w:r>
        <w:t xml:space="preserve">Nurse</w:t>
      </w:r>
      <w:r>
        <w:t xml:space="preserve"> </w:t>
      </w:r>
      <w:r>
        <w:t xml:space="preserve">employment relationships created under this</w:t>
      </w:r>
      <w:r>
        <w:t xml:space="preserve"> </w:t>
      </w:r>
      <w:r>
        <w:t xml:space="preserve">Purchase Order</w:t>
      </w:r>
      <w:r>
        <w:t xml:space="preserve"> </w:t>
      </w:r>
      <w:r>
        <w:t xml:space="preserve">are subject to Turkish labor law as enforced in</w:t>
      </w:r>
      <w:r>
        <w:t xml:space="preserve"> </w:t>
      </w:r>
      <w:r>
        <w:t xml:space="preserve">Turkey Istanbul</w:t>
      </w:r>
      <w:r>
        <w:t xml:space="preserve">.</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Nurse</w:t>
      </w:r>
      <w:r>
        <w:t xml:space="preserve"> </w:t>
      </w:r>
      <w:r>
        <w:t xml:space="preserve">staffing services in</w:t>
      </w:r>
      <w:r>
        <w:t xml:space="preserve"> </w:t>
      </w:r>
      <w:r>
        <w:t xml:space="preserve">Turkey Istanbul</w:t>
      </w:r>
      <w:r>
        <w:t xml:space="preserve">. This document constitutes a binding agreement between the parties upon execution by both authorized signatories.</w:t>
      </w:r>
    </w:p>
    <w:p>
      <w:pPr>
        <w:pStyle w:val="BodyText"/>
      </w:pPr>
      <w:r>
        <w:rPr>
          <w:bCs/>
          <w:b/>
        </w:rPr>
        <w:t xml:space="preserve">For: Marmara Regional Health Services Ltd. (Buyer)</w:t>
      </w:r>
      <w:r>
        <w:br/>
      </w:r>
      <w:r>
        <w:t xml:space="preserve">Name: Dr. Ayşe Kaya</w:t>
      </w:r>
      <w:r>
        <w:br/>
      </w:r>
      <w:r>
        <w:t xml:space="preserve">Title: Procurement Director</w:t>
      </w:r>
      <w:r>
        <w:br/>
      </w:r>
      <w:r>
        <w:t xml:space="preserve">Date: _______________</w:t>
      </w:r>
    </w:p>
    <w:p>
      <w:pPr>
        <w:pStyle w:val="BodyText"/>
      </w:pPr>
      <w:r>
        <w:rPr>
          <w:bCs/>
          <w:b/>
        </w:rPr>
        <w:t xml:space="preserve">For: Anadolu Medical Staffing Agency A.Ş. (Supplier)</w:t>
      </w:r>
      <w:r>
        <w:br/>
      </w:r>
      <w:r>
        <w:t xml:space="preserve">Name: Mehmet Yılmaz</w:t>
      </w:r>
      <w:r>
        <w:br/>
      </w:r>
      <w:r>
        <w:t xml:space="preserve">Title: Account Manager</w:t>
      </w:r>
      <w:r>
        <w:br/>
      </w:r>
      <w:r>
        <w:t xml:space="preserve">Date: _______________</w:t>
      </w:r>
    </w:p>
    <w:p>
      <w:pPr>
        <w:pStyle w:val="BodyText"/>
      </w:pPr>
      <w:r>
        <w:t xml:space="preserve">Purchase Order No: TR-IST-2025-04872 | Issued in Istanbul, Turkey | Page 1 of 1</w:t>
      </w:r>
    </w:p>
    <w:p>
      <w:pPr>
        <w:pStyle w:val="BodyText"/>
      </w:pPr>
      <w:r>
        <w:t xml:space="preserve">This document is the property of Marmara Regional Health Services Ltd. Unauthorized reproduction or distribution is prohibited under Turkish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Turkey Istanbul</dc:title>
  <dc:creator/>
  <dc:language>en</dc:language>
  <cp:keywords/>
  <dcterms:created xsi:type="dcterms:W3CDTF">2026-10-10T09:11:08Z</dcterms:created>
  <dcterms:modified xsi:type="dcterms:W3CDTF">2026-10-10T09:11:08Z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