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Occupational Therapist Professional Services Procurement</w:t>
      </w:r>
    </w:p>
    <w:p>
      <w:pPr>
        <w:pStyle w:val="BodyText"/>
      </w:pPr>
      <w:r>
        <w:t xml:space="preserve">Issued for Use in Iran Tehran | Reference: PO-IR-THR-2025-0472</w:t>
      </w:r>
    </w:p>
    <w:bookmarkEnd w:id="20"/>
    <w:p>
      <w:pPr>
        <w:pStyle w:val="BodyText"/>
      </w:pPr>
      <w:r>
        <w:rPr>
          <w:bCs/>
          <w:b/>
        </w:rPr>
        <w:t xml:space="preserve">Purchase Order No.:</w:t>
      </w:r>
      <w:r>
        <w:t xml:space="preserve"> </w:t>
      </w:r>
      <w:r>
        <w:t xml:space="preserve">PO-IR-THR-2025-0472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Iranian Rial (IRR) / USD</w:t>
      </w:r>
      <w:r>
        <w:br/>
      </w:r>
      <w:r>
        <w:rPr>
          <w:bCs/>
          <w:b/>
        </w:rPr>
        <w:t xml:space="preserve">Incoterms:</w:t>
      </w:r>
      <w:r>
        <w:t xml:space="preserve"> </w:t>
      </w:r>
      <w:r>
        <w:t xml:space="preserve">DAP Tehran</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Tehran Metropolitan Rehabilitation &amp; Health Services Center</w:t>
            </w:r>
          </w:p>
        </w:tc>
      </w:tr>
      <w:tr>
        <w:tc>
          <w:tcPr/>
          <w:p>
            <w:pPr>
              <w:pStyle w:val="Compact"/>
              <w:jc w:val="left"/>
            </w:pPr>
            <w:r>
              <w:t xml:space="preserve">Address</w:t>
            </w:r>
          </w:p>
        </w:tc>
        <w:tc>
          <w:tcPr/>
          <w:p>
            <w:pPr>
              <w:pStyle w:val="Compact"/>
              <w:jc w:val="left"/>
            </w:pPr>
            <w:r>
              <w:t xml:space="preserve">142 Valiasr Street, Jomhouri Square, Tehran, Iran</w:t>
            </w:r>
          </w:p>
        </w:tc>
      </w:tr>
      <w:tr>
        <w:tc>
          <w:tcPr/>
          <w:p>
            <w:pPr>
              <w:pStyle w:val="Compact"/>
              <w:jc w:val="left"/>
            </w:pPr>
            <w:r>
              <w:t xml:space="preserve">Contact Person</w:t>
            </w:r>
          </w:p>
        </w:tc>
        <w:tc>
          <w:tcPr/>
          <w:p>
            <w:pPr>
              <w:pStyle w:val="Compact"/>
              <w:jc w:val="left"/>
            </w:pPr>
            <w:r>
              <w:t xml:space="preserve">Dr. Maryam Ahmadi, Director of Clinical Procurement</w:t>
            </w:r>
          </w:p>
        </w:tc>
      </w:tr>
      <w:tr>
        <w:tc>
          <w:tcPr/>
          <w:p>
            <w:pPr>
              <w:pStyle w:val="Compact"/>
              <w:jc w:val="left"/>
            </w:pPr>
            <w:r>
              <w:t xml:space="preserve">Phone / Email</w:t>
            </w:r>
          </w:p>
        </w:tc>
        <w:tc>
          <w:tcPr/>
          <w:p>
            <w:pPr>
              <w:pStyle w:val="Compact"/>
              <w:jc w:val="left"/>
            </w:pPr>
            <w:r>
              <w:t xml:space="preserve">+98-21-8876-5432 / procurement@tmrhsc.ir</w:t>
            </w:r>
          </w:p>
        </w:tc>
      </w:tr>
      <w:tr>
        <w:tc>
          <w:tcPr/>
          <w:p>
            <w:pPr>
              <w:pStyle w:val="Compact"/>
              <w:jc w:val="left"/>
            </w:pPr>
            <w:r>
              <w:t xml:space="preserve">Tax Registration No.</w:t>
            </w:r>
          </w:p>
        </w:tc>
        <w:tc>
          <w:tcPr/>
          <w:p>
            <w:pPr>
              <w:pStyle w:val="Compact"/>
              <w:jc w:val="left"/>
            </w:pPr>
            <w:r>
              <w:t xml:space="preserve">IR-1004578293</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Reza Karimi, Licensed Occupational Therapist</w:t>
            </w:r>
          </w:p>
        </w:tc>
      </w:tr>
      <w:tr>
        <w:tc>
          <w:tcPr/>
          <w:p>
            <w:pPr>
              <w:pStyle w:val="Compact"/>
              <w:jc w:val="left"/>
            </w:pPr>
            <w:r>
              <w:t xml:space="preserve">Professional License</w:t>
            </w:r>
          </w:p>
        </w:tc>
        <w:tc>
          <w:tcPr/>
          <w:p>
            <w:pPr>
              <w:pStyle w:val="Compact"/>
              <w:jc w:val="left"/>
            </w:pPr>
            <w:r>
              <w:t xml:space="preserve">Iranian Ministry of Health License No. OT-THR-2019-0884</w:t>
            </w:r>
          </w:p>
        </w:tc>
      </w:tr>
      <w:tr>
        <w:tc>
          <w:tcPr/>
          <w:p>
            <w:pPr>
              <w:pStyle w:val="Compact"/>
              <w:jc w:val="left"/>
            </w:pPr>
            <w:r>
              <w:t xml:space="preserve">Address</w:t>
            </w:r>
          </w:p>
        </w:tc>
        <w:tc>
          <w:tcPr/>
          <w:p>
            <w:pPr>
              <w:pStyle w:val="Compact"/>
              <w:jc w:val="left"/>
            </w:pPr>
            <w:r>
              <w:t xml:space="preserve">78 Enghelab Avenue, Niavaran District, Tehran, Iran</w:t>
            </w:r>
          </w:p>
        </w:tc>
      </w:tr>
      <w:tr>
        <w:tc>
          <w:tcPr/>
          <w:p>
            <w:pPr>
              <w:pStyle w:val="Compact"/>
              <w:jc w:val="left"/>
            </w:pPr>
            <w:r>
              <w:t xml:space="preserve">Contact Person</w:t>
            </w:r>
          </w:p>
        </w:tc>
        <w:tc>
          <w:tcPr/>
          <w:p>
            <w:pPr>
              <w:pStyle w:val="Compact"/>
              <w:jc w:val="left"/>
            </w:pPr>
            <w:r>
              <w:t xml:space="preserve">Dr. Reza Karimi</w:t>
            </w:r>
          </w:p>
        </w:tc>
      </w:tr>
      <w:tr>
        <w:tc>
          <w:tcPr/>
          <w:p>
            <w:pPr>
              <w:pStyle w:val="Compact"/>
              <w:jc w:val="left"/>
            </w:pPr>
            <w:r>
              <w:t xml:space="preserve">Phone / Email</w:t>
            </w:r>
          </w:p>
        </w:tc>
        <w:tc>
          <w:tcPr/>
          <w:p>
            <w:pPr>
              <w:pStyle w:val="Compact"/>
              <w:jc w:val="left"/>
            </w:pPr>
            <w:r>
              <w:t xml:space="preserve">+98-21-4455-6677 / r.karimi.ot@gmail.com</w:t>
            </w:r>
          </w:p>
        </w:tc>
      </w:tr>
    </w:tbl>
    <w:p>
      <w:pPr>
        <w:pStyle w:val="BodyText"/>
      </w:pPr>
      <w:r>
        <w:t xml:space="preserve">3. Description of Procured Services</w:t>
      </w:r>
    </w:p>
    <w:p>
      <w:pPr>
        <w:pStyle w:val="BodyText"/>
      </w:pPr>
      <w:r>
        <w:t xml:space="preserve">This</w:t>
      </w:r>
      <w:r>
        <w:t xml:space="preserve"> </w:t>
      </w:r>
      <w:r>
        <w:t xml:space="preserve">Purchase Order</w:t>
      </w:r>
      <w:r>
        <w:t xml:space="preserve"> </w:t>
      </w:r>
      <w:r>
        <w:t xml:space="preserve">is issued by the Tehran Metropolitan Rehabilitation &amp; Health Services Center to formally procure the professional services of a qualified</w:t>
      </w:r>
      <w:r>
        <w:t xml:space="preserve"> </w:t>
      </w:r>
      <w:r>
        <w:t xml:space="preserve">Occupational Therapist</w:t>
      </w:r>
      <w:r>
        <w:t xml:space="preserve"> </w:t>
      </w:r>
      <w:r>
        <w:t xml:space="preserve">for delivery at the center's primary facility located in</w:t>
      </w:r>
      <w:r>
        <w:t xml:space="preserve"> </w:t>
      </w:r>
      <w:r>
        <w:t xml:space="preserve">Iran Tehran</w:t>
      </w:r>
      <w:r>
        <w:t xml:space="preserve">. The Occupational Therapist shall provide comprehensive, evidence-based therapeutic interventions to patients with neurological, orthopedic, developmental, and psychiatric conditions requiring functional rehabilitation. All services rendered under this Purchase Order shall be conducted in full compliance with the regulations established by the Iranian Ministry of Health and Medical Education, as well as the professional standards set forth by the Iranian Association of Occupational Therapists operating within the Tehran metropolitan area.</w:t>
      </w:r>
    </w:p>
    <w:p>
      <w:pPr>
        <w:pStyle w:val="BodyText"/>
      </w:pPr>
      <w:r>
        <w:t xml:space="preserve">4.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Initial patient assessment and functional evaluation by the Occupational Therapist at the Tehran facility</w:t>
            </w:r>
          </w:p>
        </w:tc>
        <w:tc>
          <w:tcPr/>
          <w:p>
            <w:pPr>
              <w:pStyle w:val="Compact"/>
              <w:jc w:val="left"/>
            </w:pPr>
            <w:r>
              <w:t xml:space="preserve">Per patient (est. 200 patients)</w:t>
            </w:r>
          </w:p>
        </w:tc>
        <w:tc>
          <w:tcPr/>
          <w:p>
            <w:pPr>
              <w:pStyle w:val="Compact"/>
              <w:jc w:val="left"/>
            </w:pPr>
            <w:r>
              <w:t xml:space="preserve">850,000</w:t>
            </w:r>
          </w:p>
        </w:tc>
        <w:tc>
          <w:tcPr/>
          <w:p>
            <w:pPr>
              <w:pStyle w:val="Compact"/>
              <w:jc w:val="left"/>
            </w:pPr>
            <w:r>
              <w:t xml:space="preserve">170,000,000</w:t>
            </w:r>
          </w:p>
        </w:tc>
      </w:tr>
      <w:tr>
        <w:tc>
          <w:tcPr/>
          <w:p>
            <w:pPr>
              <w:pStyle w:val="Compact"/>
              <w:jc w:val="left"/>
            </w:pPr>
            <w:r>
              <w:t xml:space="preserve">02</w:t>
            </w:r>
          </w:p>
        </w:tc>
        <w:tc>
          <w:tcPr/>
          <w:p>
            <w:pPr>
              <w:pStyle w:val="Compact"/>
              <w:jc w:val="left"/>
            </w:pPr>
            <w:r>
              <w:t xml:space="preserve">Individualized Occupational Therapy treatment sessions (neurological rehabilitation focus)</w:t>
            </w:r>
          </w:p>
        </w:tc>
        <w:tc>
          <w:tcPr/>
          <w:p>
            <w:pPr>
              <w:pStyle w:val="Compact"/>
              <w:jc w:val="left"/>
            </w:pPr>
            <w:r>
              <w:t xml:space="preserve">40 sessions/week, 12 months</w:t>
            </w:r>
          </w:p>
        </w:tc>
        <w:tc>
          <w:tcPr/>
          <w:p>
            <w:pPr>
              <w:pStyle w:val="Compact"/>
              <w:jc w:val="left"/>
            </w:pPr>
            <w:r>
              <w:t xml:space="preserve">1,200,000</w:t>
            </w:r>
          </w:p>
        </w:tc>
        <w:tc>
          <w:tcPr/>
          <w:p>
            <w:pPr>
              <w:pStyle w:val="Compact"/>
              <w:jc w:val="left"/>
            </w:pPr>
            <w:r>
              <w:t xml:space="preserve">2,496,000,000</w:t>
            </w:r>
          </w:p>
        </w:tc>
      </w:tr>
      <w:tr>
        <w:tc>
          <w:tcPr/>
          <w:p>
            <w:pPr>
              <w:pStyle w:val="Compact"/>
              <w:jc w:val="left"/>
            </w:pPr>
            <w:r>
              <w:t xml:space="preserve">03</w:t>
            </w:r>
          </w:p>
        </w:tc>
        <w:tc>
          <w:tcPr/>
          <w:p>
            <w:pPr>
              <w:pStyle w:val="Compact"/>
              <w:jc w:val="left"/>
            </w:pPr>
            <w:r>
              <w:t xml:space="preserve">Group therapy workshops for pediatric developmental disorders in Iran Tehran</w:t>
            </w:r>
          </w:p>
        </w:tc>
        <w:tc>
          <w:tcPr/>
          <w:p>
            <w:pPr>
              <w:pStyle w:val="Compact"/>
              <w:jc w:val="left"/>
            </w:pPr>
            <w:r>
              <w:t xml:space="preserve">8 sessions/week, 12 months</w:t>
            </w:r>
          </w:p>
        </w:tc>
        <w:tc>
          <w:tcPr/>
          <w:p>
            <w:pPr>
              <w:pStyle w:val="Compact"/>
              <w:jc w:val="left"/>
            </w:pPr>
            <w:r>
              <w:t xml:space="preserve">2,500,000</w:t>
            </w:r>
          </w:p>
        </w:tc>
        <w:tc>
          <w:tcPr/>
          <w:p>
            <w:pPr>
              <w:pStyle w:val="Compact"/>
              <w:jc w:val="left"/>
            </w:pPr>
            <w:r>
              <w:t xml:space="preserve">998,400,000</w:t>
            </w:r>
          </w:p>
        </w:tc>
      </w:tr>
      <w:tr>
        <w:tc>
          <w:tcPr/>
          <w:p>
            <w:pPr>
              <w:pStyle w:val="Compact"/>
              <w:jc w:val="left"/>
            </w:pPr>
            <w:r>
              <w:t xml:space="preserve">04</w:t>
            </w:r>
          </w:p>
        </w:tc>
        <w:tc>
          <w:tcPr/>
          <w:p>
            <w:pPr>
              <w:pStyle w:val="Compact"/>
              <w:jc w:val="left"/>
            </w:pPr>
            <w:r>
              <w:t xml:space="preserve">Adaptive equipment consultation and environmental modification planning</w:t>
            </w:r>
          </w:p>
        </w:tc>
        <w:tc>
          <w:tcPr/>
          <w:p>
            <w:pPr>
              <w:pStyle w:val="Compact"/>
              <w:jc w:val="left"/>
            </w:pPr>
            <w:r>
              <w:t xml:space="preserve">Monthly (12 months)</w:t>
            </w:r>
          </w:p>
        </w:tc>
        <w:tc>
          <w:tcPr/>
          <w:p>
            <w:pPr>
              <w:pStyle w:val="Compact"/>
              <w:jc w:val="left"/>
            </w:pPr>
            <w:r>
              <w:t xml:space="preserve">3,500,000</w:t>
            </w:r>
          </w:p>
        </w:tc>
        <w:tc>
          <w:tcPr/>
          <w:p>
            <w:pPr>
              <w:pStyle w:val="Compact"/>
              <w:jc w:val="left"/>
            </w:pPr>
            <w:r>
              <w:t xml:space="preserve">42,000,000</w:t>
            </w:r>
          </w:p>
        </w:tc>
      </w:tr>
      <w:tr>
        <w:tc>
          <w:tcPr/>
          <w:p>
            <w:pPr>
              <w:pStyle w:val="Compact"/>
              <w:jc w:val="left"/>
            </w:pPr>
            <w:r>
              <w:t xml:space="preserve">05</w:t>
            </w:r>
          </w:p>
        </w:tc>
        <w:tc>
          <w:tcPr/>
          <w:p>
            <w:pPr>
              <w:pStyle w:val="Compact"/>
              <w:jc w:val="left"/>
            </w:pPr>
            <w:r>
              <w:t xml:space="preserve">Staff training and supervision for junior therapists at the Tehran center</w:t>
            </w:r>
          </w:p>
        </w:tc>
        <w:tc>
          <w:tcPr/>
          <w:p>
            <w:pPr>
              <w:pStyle w:val="Compact"/>
              <w:jc w:val="left"/>
            </w:pPr>
            <w:r>
              <w:t xml:space="preserve">Quarterly (4 sessions/year)</w:t>
            </w:r>
          </w:p>
        </w:tc>
        <w:tc>
          <w:tcPr/>
          <w:p>
            <w:pPr>
              <w:pStyle w:val="Compact"/>
              <w:jc w:val="left"/>
            </w:pPr>
            <w:r>
              <w:t xml:space="preserve">5,000,000</w:t>
            </w:r>
          </w:p>
        </w:tc>
        <w:tc>
          <w:tcPr/>
          <w:p>
            <w:pPr>
              <w:pStyle w:val="Compact"/>
              <w:jc w:val="left"/>
            </w:pPr>
            <w:r>
              <w:t xml:space="preserve">20,000,000</w:t>
            </w:r>
          </w:p>
        </w:tc>
      </w:tr>
      <w:tr>
        <w:tc>
          <w:tcPr/>
          <w:p>
            <w:pPr>
              <w:pStyle w:val="Compact"/>
              <w:jc w:val="left"/>
            </w:pPr>
            <w:r>
              <w:t xml:space="preserve">06</w:t>
            </w:r>
          </w:p>
        </w:tc>
        <w:tc>
          <w:tcPr/>
          <w:p>
            <w:pPr>
              <w:pStyle w:val="Compact"/>
              <w:jc w:val="left"/>
            </w:pPr>
            <w:r>
              <w:t xml:space="preserve">Progress documentation, clinical reporting, and discharge planning</w:t>
            </w:r>
          </w:p>
        </w:tc>
        <w:tc>
          <w:tcPr/>
          <w:p>
            <w:pPr>
              <w:pStyle w:val="Compact"/>
              <w:jc w:val="left"/>
            </w:pPr>
            <w:r>
              <w:t xml:space="preserve">Continuous, 12 months</w:t>
            </w:r>
          </w:p>
        </w:tc>
        <w:tc>
          <w:tcPr/>
          <w:p>
            <w:pPr>
              <w:pStyle w:val="Compact"/>
              <w:jc w:val="left"/>
            </w:pPr>
            <w:r>
              <w:t xml:space="preserve">1,800,000</w:t>
            </w:r>
          </w:p>
        </w:tc>
        <w:tc>
          <w:tcPr/>
          <w:p>
            <w:pPr>
              <w:pStyle w:val="Compact"/>
              <w:jc w:val="left"/>
            </w:pPr>
            <w:r>
              <w:t xml:space="preserve">21,600,000</w:t>
            </w:r>
          </w:p>
        </w:tc>
      </w:tr>
      <w:tr>
        <w:tc>
          <w:tcPr>
            <w:gridSpan w:val="4"/>
          </w:tcPr>
          <w:p>
            <w:pPr>
              <w:pStyle w:val="Compact"/>
              <w:jc w:val="left"/>
            </w:pPr>
            <w:r>
              <w:t xml:space="preserve">TOTAL CONTRACT VALUE</w:t>
            </w:r>
          </w:p>
        </w:tc>
        <w:tc>
          <w:tcPr/>
          <w:p>
            <w:pPr>
              <w:pStyle w:val="Compact"/>
              <w:jc w:val="left"/>
            </w:pPr>
            <w:r>
              <w:t xml:space="preserve">3,728,000,000 IRR</w:t>
            </w:r>
          </w:p>
        </w:tc>
      </w:tr>
    </w:tbl>
    <w:p>
      <w:pPr>
        <w:pStyle w:val="BodyText"/>
      </w:pPr>
      <w:r>
        <w:t xml:space="preserve">5. Terms and Conditions</w:t>
      </w:r>
    </w:p>
    <w:p>
      <w:pPr>
        <w:numPr>
          <w:ilvl w:val="0"/>
          <w:numId w:val="1001"/>
        </w:numPr>
        <w:pStyle w:val="Compact"/>
      </w:pPr>
      <w:r>
        <w:t xml:space="preserve">This Purchase Order constitutes a binding agreement between the Buyer and the Occupational Therapist for the provision of rehabilitation services exclusively within the geographic jurisdiction of Iran Tehran. No services shall be rendered outside the designated facility without prior written amendment to this Purchase Order.</w:t>
      </w:r>
    </w:p>
    <w:p>
      <w:pPr>
        <w:numPr>
          <w:ilvl w:val="0"/>
          <w:numId w:val="1001"/>
        </w:numPr>
        <w:pStyle w:val="Compact"/>
      </w:pPr>
      <w:r>
        <w:t xml:space="preserve">The Occupational Therapist shall maintain valid professional licensure issued by the Iranian Ministry of Health throughout the entire contract period. Any lapse in licensure shall constitute immediate grounds for termination of this Purchase Order.</w:t>
      </w:r>
    </w:p>
    <w:p>
      <w:pPr>
        <w:numPr>
          <w:ilvl w:val="0"/>
          <w:numId w:val="1001"/>
        </w:numPr>
        <w:pStyle w:val="Compact"/>
      </w:pPr>
      <w:r>
        <w:t xml:space="preserve">All clinical records, patient data, and therapeutic documentation generated under this Purchase Order shall be stored in accordance with Iranian data protection regulations and the Tehran Health Authority's record-keeping mandates.</w:t>
      </w:r>
    </w:p>
    <w:p>
      <w:pPr>
        <w:numPr>
          <w:ilvl w:val="0"/>
          <w:numId w:val="1001"/>
        </w:numPr>
        <w:pStyle w:val="Compact"/>
      </w:pPr>
      <w:r>
        <w:t xml:space="preserve">The Occupational Therapist is required to submit monthly progress reports to the Buyer's clinical director by the 5th of each month. Failure to submit reports for two consecutive months may result in a 10% deduction from the corresponding invoice.</w:t>
      </w:r>
    </w:p>
    <w:p>
      <w:pPr>
        <w:numPr>
          <w:ilvl w:val="0"/>
          <w:numId w:val="1001"/>
        </w:numPr>
        <w:pStyle w:val="Compact"/>
      </w:pPr>
      <w:r>
        <w:t xml:space="preserve">Payment shall be processed via bank transfer to the account designated by the Occupational Therapist within 30 calendar days of receipt of a valid invoice. Late payments shall accrue interest at the rate prescribed by the Central Bank of Iran.</w:t>
      </w:r>
    </w:p>
    <w:p>
      <w:pPr>
        <w:numPr>
          <w:ilvl w:val="0"/>
          <w:numId w:val="1001"/>
        </w:numPr>
        <w:pStyle w:val="Compact"/>
      </w:pPr>
      <w:r>
        <w:t xml:space="preserve">The Occupational Therapist shall adhere to all safety protocols, infection control standards, and ethical guidelines established by the Tehran Metropolitan Health Department. The Buyer reserves the right to conduct unannounced compliance audits at the service delivery site in Iran Tehran.</w:t>
      </w:r>
    </w:p>
    <w:p>
      <w:pPr>
        <w:numPr>
          <w:ilvl w:val="0"/>
          <w:numId w:val="1001"/>
        </w:numPr>
        <w:pStyle w:val="Compact"/>
      </w:pPr>
      <w:r>
        <w:t xml:space="preserve">Any modification to the scope of services, patient volume, or treatment protocols outlined in this Purchase Order must be documented in a formal written addendum signed by both parties.</w:t>
      </w:r>
    </w:p>
    <w:p>
      <w:pPr>
        <w:numPr>
          <w:ilvl w:val="0"/>
          <w:numId w:val="1001"/>
        </w:numPr>
        <w:pStyle w:val="Compact"/>
      </w:pPr>
      <w:r>
        <w:t xml:space="preserve">In the event of force majeure, including but not limited to natural disasters, government-mandated closures, or public health emergencies affecting the Tehran region, either party may suspend obligations under this Purchase Order without penalty, provided written notice is given within 48 hours.</w:t>
      </w:r>
    </w:p>
    <w:p>
      <w:pPr>
        <w:numPr>
          <w:ilvl w:val="0"/>
          <w:numId w:val="1001"/>
        </w:numPr>
        <w:pStyle w:val="Compact"/>
      </w:pPr>
      <w:r>
        <w:t xml:space="preserve">Disputes arising from this Purchase Order shall be resolved through mediation under the auspices of the Tehran Arbitration Center before any litigation is pursued in the Iranian judicial system.</w:t>
      </w:r>
    </w:p>
    <w:p>
      <w:pPr>
        <w:numPr>
          <w:ilvl w:val="0"/>
          <w:numId w:val="1001"/>
        </w:numPr>
        <w:pStyle w:val="Compact"/>
      </w:pPr>
      <w:r>
        <w:t xml:space="preserve">This Purchase Order is governed by and shall be interpreted in accordance with the civil and commercial laws of the Islamic Republic of Iran, with specific reference to healthcare service procurement regulations applicable in Tehran.</w:t>
      </w:r>
    </w:p>
    <w:p>
      <w:pPr>
        <w:pStyle w:val="FirstParagraph"/>
      </w:pPr>
      <w:r>
        <w:t xml:space="preserve">6. Acceptance and Authorization</w:t>
      </w:r>
    </w:p>
    <w:p>
      <w:pPr>
        <w:pStyle w:val="BodyText"/>
      </w:pPr>
      <w:r>
        <w:t xml:space="preserve">By signing below, both parties acknowledge that this Purchase Order for Occupational Therapist services in Iran Tehran has been reviewed, understood, and accepted in its entirety. The terms set forth herein represent the complete and final agreement between the parties regarding the procurement of the described professional rehabilitation services.</w:t>
      </w:r>
    </w:p>
    <w:p>
      <w:pPr>
        <w:pStyle w:val="BodyText"/>
      </w:pPr>
      <w:r>
        <w:rPr>
          <w:bCs/>
          <w:b/>
        </w:rPr>
        <w:t xml:space="preserve">Authorized Signatory – Buyer</w:t>
      </w:r>
      <w:r>
        <w:br/>
      </w:r>
      <w:r>
        <w:t xml:space="preserve">Dr. Maryam Ahmadi</w:t>
      </w:r>
      <w:r>
        <w:br/>
      </w:r>
      <w:r>
        <w:t xml:space="preserve">Director of Clinical Procurement</w:t>
      </w:r>
      <w:r>
        <w:br/>
      </w:r>
      <w:r>
        <w:t xml:space="preserve">Tehran Metropolitan Rehabilitation &amp; Health Services Center</w:t>
      </w:r>
      <w:r>
        <w:br/>
      </w:r>
      <w:r>
        <w:t xml:space="preserve">Date: _______________</w:t>
      </w:r>
    </w:p>
    <w:p>
      <w:pPr>
        <w:pStyle w:val="BodyText"/>
      </w:pPr>
      <w:r>
        <w:rPr>
          <w:bCs/>
          <w:b/>
        </w:rPr>
        <w:t xml:space="preserve">Authorized Signatory – Occupational Therapist</w:t>
      </w:r>
      <w:r>
        <w:br/>
      </w:r>
      <w:r>
        <w:t xml:space="preserve">Dr. Reza Karimi</w:t>
      </w:r>
      <w:r>
        <w:br/>
      </w:r>
      <w:r>
        <w:t xml:space="preserve">Licensed Occupational Therapist</w:t>
      </w:r>
      <w:r>
        <w:br/>
      </w:r>
      <w:r>
        <w:t xml:space="preserve">License No. OT-THR-2019-0884</w:t>
      </w:r>
      <w:r>
        <w:br/>
      </w:r>
      <w:r>
        <w:t xml:space="preserve">Date: _______________</w:t>
      </w:r>
    </w:p>
    <w:p>
      <w:pPr>
        <w:pStyle w:val="BodyText"/>
      </w:pPr>
      <w:r>
        <w:t xml:space="preserve">This Purchase Order (PO-IR-THR-2025-0472) is an official procurement document for Occupational Therapist services issued for use in Iran Tehran. Unauthorized reproduction or distribution is prohibited. For inquiries, contact the Procurement Office at Tehran Metropolitan Rehabilitation &amp; Health Services Center, Jomhouri Square,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Iran Tehran</dc:title>
  <dc:creator/>
  <dc:language>en</dc:language>
  <cp:keywords/>
  <dcterms:created xsi:type="dcterms:W3CDTF">2026-10-10T06:24:35Z</dcterms:created>
  <dcterms:modified xsi:type="dcterms:W3CDTF">2026-10-10T06:24:35Z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